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34" w:rsidRPr="00B56E58" w:rsidRDefault="00CC4D34" w:rsidP="00FB64A4">
      <w:pPr>
        <w:pStyle w:val="OCS"/>
        <w:ind w:firstLine="284"/>
        <w:rPr>
          <w:iCs/>
          <w:lang w:val="ru-RU"/>
        </w:rPr>
      </w:pPr>
      <w:r w:rsidRPr="00CC4D34">
        <w:rPr>
          <w:iCs/>
        </w:rPr>
        <w:t xml:space="preserve">УДК </w:t>
      </w:r>
      <w:r w:rsidRPr="00167D5D">
        <w:rPr>
          <w:iCs/>
          <w:lang w:val="ru-RU"/>
        </w:rPr>
        <w:t>624.1</w:t>
      </w:r>
      <w:r w:rsidR="00167D5D" w:rsidRPr="00B56E58">
        <w:rPr>
          <w:iCs/>
          <w:lang w:val="ru-RU"/>
        </w:rPr>
        <w:t>54</w:t>
      </w:r>
    </w:p>
    <w:p w:rsidR="00CC4D34" w:rsidRPr="0007383D" w:rsidRDefault="00CC4D34" w:rsidP="00985A67">
      <w:pPr>
        <w:pStyle w:val="OCSukr"/>
        <w:ind w:firstLine="284"/>
        <w:rPr>
          <w:szCs w:val="28"/>
        </w:rPr>
      </w:pPr>
      <w:r w:rsidRPr="008C00C1">
        <w:rPr>
          <w:szCs w:val="28"/>
        </w:rPr>
        <w:t>А. В. Грушевська</w:t>
      </w:r>
      <w:r w:rsidR="00985A67" w:rsidRPr="008C00C1">
        <w:rPr>
          <w:szCs w:val="28"/>
        </w:rPr>
        <w:t>, магістр</w:t>
      </w:r>
      <w:r w:rsidR="0007383D">
        <w:rPr>
          <w:szCs w:val="28"/>
        </w:rPr>
        <w:t>ант</w:t>
      </w:r>
    </w:p>
    <w:p w:rsidR="00CC4D34" w:rsidRPr="00CC4D34" w:rsidRDefault="00CC4D34" w:rsidP="00FB64A4">
      <w:pPr>
        <w:pStyle w:val="OCSukr"/>
        <w:ind w:firstLine="284"/>
      </w:pPr>
    </w:p>
    <w:p w:rsidR="00CC4D34" w:rsidRPr="00CC4D34" w:rsidRDefault="00065D8C" w:rsidP="00FB64A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Вплив коефіцієнту пористості на </w:t>
      </w:r>
      <w:r w:rsidR="00985A67">
        <w:rPr>
          <w:rFonts w:ascii="Times New Roman" w:hAnsi="Times New Roman" w:cs="Times New Roman"/>
          <w:b/>
          <w:caps/>
          <w:sz w:val="32"/>
          <w:szCs w:val="32"/>
        </w:rPr>
        <w:t>несуч</w:t>
      </w:r>
      <w:r>
        <w:rPr>
          <w:rFonts w:ascii="Times New Roman" w:hAnsi="Times New Roman" w:cs="Times New Roman"/>
          <w:b/>
          <w:caps/>
          <w:sz w:val="32"/>
          <w:szCs w:val="32"/>
        </w:rPr>
        <w:t>у здатність</w:t>
      </w:r>
      <w:r w:rsidR="00CC4D34">
        <w:rPr>
          <w:rFonts w:ascii="Times New Roman" w:hAnsi="Times New Roman" w:cs="Times New Roman"/>
          <w:b/>
          <w:caps/>
          <w:sz w:val="32"/>
          <w:szCs w:val="32"/>
        </w:rPr>
        <w:t xml:space="preserve"> буров</w:t>
      </w:r>
      <w:r>
        <w:rPr>
          <w:rFonts w:ascii="Times New Roman" w:hAnsi="Times New Roman" w:cs="Times New Roman"/>
          <w:b/>
          <w:caps/>
          <w:sz w:val="32"/>
          <w:szCs w:val="32"/>
        </w:rPr>
        <w:t>ої</w:t>
      </w:r>
      <w:r w:rsidR="00CC4D34">
        <w:rPr>
          <w:rFonts w:ascii="Times New Roman" w:hAnsi="Times New Roman" w:cs="Times New Roman"/>
          <w:b/>
          <w:caps/>
          <w:sz w:val="32"/>
          <w:szCs w:val="32"/>
        </w:rPr>
        <w:t xml:space="preserve"> пал</w:t>
      </w:r>
      <w:r>
        <w:rPr>
          <w:rFonts w:ascii="Times New Roman" w:hAnsi="Times New Roman" w:cs="Times New Roman"/>
          <w:b/>
          <w:caps/>
          <w:sz w:val="32"/>
          <w:szCs w:val="32"/>
        </w:rPr>
        <w:t>і</w:t>
      </w:r>
      <w:r w:rsidR="0030282C">
        <w:rPr>
          <w:rFonts w:ascii="Times New Roman" w:hAnsi="Times New Roman" w:cs="Times New Roman"/>
          <w:b/>
          <w:cap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caps/>
          <w:sz w:val="32"/>
          <w:szCs w:val="32"/>
        </w:rPr>
        <w:t>у</w:t>
      </w:r>
      <w:r w:rsidR="0030282C">
        <w:rPr>
          <w:rFonts w:ascii="Times New Roman" w:hAnsi="Times New Roman" w:cs="Times New Roman"/>
          <w:b/>
          <w:caps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caps/>
          <w:sz w:val="32"/>
          <w:szCs w:val="32"/>
        </w:rPr>
        <w:t>піщаному</w:t>
      </w:r>
      <w:r w:rsidR="0030282C">
        <w:rPr>
          <w:rFonts w:ascii="Times New Roman" w:hAnsi="Times New Roman" w:cs="Times New Roman"/>
          <w:b/>
          <w:caps/>
          <w:sz w:val="32"/>
          <w:szCs w:val="32"/>
          <w:lang w:val="ru-RU"/>
        </w:rPr>
        <w:t xml:space="preserve"> </w:t>
      </w:r>
      <w:r w:rsidR="00985A67" w:rsidRPr="00985A67">
        <w:rPr>
          <w:rFonts w:ascii="Times New Roman" w:hAnsi="Times New Roman" w:cs="Times New Roman"/>
          <w:b/>
          <w:caps/>
          <w:sz w:val="32"/>
          <w:szCs w:val="32"/>
        </w:rPr>
        <w:t>ґ</w:t>
      </w:r>
      <w:r w:rsidR="00985A67">
        <w:rPr>
          <w:rFonts w:ascii="Times New Roman" w:hAnsi="Times New Roman" w:cs="Times New Roman"/>
          <w:b/>
          <w:caps/>
          <w:sz w:val="32"/>
          <w:szCs w:val="32"/>
        </w:rPr>
        <w:t>рунті</w:t>
      </w:r>
    </w:p>
    <w:p w:rsidR="00CC4D34" w:rsidRPr="00CC4D34" w:rsidRDefault="00CC4D34" w:rsidP="00FB64A4">
      <w:pPr>
        <w:pStyle w:val="OCS0"/>
        <w:ind w:firstLine="284"/>
      </w:pPr>
    </w:p>
    <w:p w:rsidR="00CC4D34" w:rsidRDefault="00CC4D34" w:rsidP="00FB64A4">
      <w:pPr>
        <w:pStyle w:val="OCS0"/>
        <w:ind w:firstLine="284"/>
      </w:pPr>
      <w:r w:rsidRPr="00CC4D34">
        <w:t>Вінницький національний технічний університет;</w:t>
      </w:r>
    </w:p>
    <w:p w:rsidR="00CC4D34" w:rsidRPr="00CC4D34" w:rsidRDefault="00CC4D34" w:rsidP="00FB64A4">
      <w:pPr>
        <w:pStyle w:val="OCS0"/>
        <w:ind w:firstLine="284"/>
      </w:pPr>
    </w:p>
    <w:p w:rsidR="00CC4D34" w:rsidRPr="00641DF2" w:rsidRDefault="00CC4D34" w:rsidP="00FB64A4">
      <w:pPr>
        <w:pStyle w:val="OCSeng"/>
        <w:rPr>
          <w:rFonts w:cs="Times New Roman"/>
          <w:b/>
          <w:szCs w:val="20"/>
        </w:rPr>
      </w:pPr>
      <w:r w:rsidRPr="00641DF2">
        <w:rPr>
          <w:rFonts w:cs="Times New Roman"/>
          <w:b/>
          <w:szCs w:val="20"/>
        </w:rPr>
        <w:t>Анотація</w:t>
      </w:r>
    </w:p>
    <w:p w:rsidR="00CC4D34" w:rsidRDefault="00C22E12" w:rsidP="00FB64A4">
      <w:pPr>
        <w:pStyle w:val="OCSeng"/>
      </w:pPr>
      <w:r>
        <w:t>Виконано</w:t>
      </w:r>
      <w:r w:rsidRPr="00C22E12">
        <w:t xml:space="preserve"> чисельне моделювання методом скінченних елементів</w:t>
      </w:r>
      <w:r w:rsidR="006D42DA">
        <w:t xml:space="preserve"> роботи</w:t>
      </w:r>
      <w:r>
        <w:t xml:space="preserve"> бурової палі в піщаних </w:t>
      </w:r>
      <w:r w:rsidR="00985A67">
        <w:t>ґрунтах</w:t>
      </w:r>
      <w:r w:rsidR="006D42DA">
        <w:t xml:space="preserve"> різних видів</w:t>
      </w:r>
      <w:r>
        <w:t>.</w:t>
      </w:r>
      <w:r w:rsidR="001D1F43">
        <w:t>П</w:t>
      </w:r>
      <w:r w:rsidR="00D0388B">
        <w:t>роаналізовано</w:t>
      </w:r>
      <w:r w:rsidR="00CC4D34">
        <w:t xml:space="preserve"> вплив коефіцієнта пористості піщаних </w:t>
      </w:r>
      <w:r w:rsidR="00985A67">
        <w:t>ґрунтів</w:t>
      </w:r>
      <w:r w:rsidR="00CC4D34">
        <w:t xml:space="preserve"> на несучу здатність бурової палі. </w:t>
      </w:r>
      <w:r w:rsidR="006D42DA" w:rsidRPr="006D42DA">
        <w:t>О</w:t>
      </w:r>
      <w:r w:rsidR="006D42DA" w:rsidRPr="0030282C">
        <w:t xml:space="preserve">держана </w:t>
      </w:r>
      <w:proofErr w:type="spellStart"/>
      <w:r w:rsidR="006D42DA" w:rsidRPr="0030282C">
        <w:t>таблицязначеньпитомого</w:t>
      </w:r>
      <w:proofErr w:type="spellEnd"/>
      <w:r w:rsidR="001E3A36" w:rsidRPr="0030282C">
        <w:t xml:space="preserve"> опору по </w:t>
      </w:r>
      <w:proofErr w:type="spellStart"/>
      <w:r w:rsidR="001E3A36" w:rsidRPr="0030282C">
        <w:t>бі</w:t>
      </w:r>
      <w:bookmarkStart w:id="0" w:name="_GoBack"/>
      <w:bookmarkEnd w:id="0"/>
      <w:r w:rsidR="001E3A36" w:rsidRPr="0030282C">
        <w:t>чн</w:t>
      </w:r>
      <w:r w:rsidR="006D42DA" w:rsidRPr="0030282C">
        <w:t>ійповерхніпалі</w:t>
      </w:r>
      <w:proofErr w:type="spellEnd"/>
      <w:r w:rsidR="006D42DA" w:rsidRPr="0030282C">
        <w:t xml:space="preserve"> з </w:t>
      </w:r>
      <w:proofErr w:type="spellStart"/>
      <w:r w:rsidR="006D42DA" w:rsidRPr="0030282C">
        <w:t>врахуваннямкоефіцієнтупористості</w:t>
      </w:r>
      <w:proofErr w:type="spellEnd"/>
      <w:r w:rsidR="006D42DA" w:rsidRPr="0030282C">
        <w:t>.</w:t>
      </w:r>
    </w:p>
    <w:p w:rsidR="00CC4D34" w:rsidRPr="0030282C" w:rsidRDefault="00CC4D34" w:rsidP="00FB64A4">
      <w:pPr>
        <w:pStyle w:val="OCSeng0"/>
        <w:rPr>
          <w:lang w:val="uk-UA"/>
        </w:rPr>
      </w:pPr>
      <w:r w:rsidRPr="0030282C">
        <w:rPr>
          <w:b/>
          <w:lang w:val="uk-UA"/>
        </w:rPr>
        <w:t>Ключові слова:</w:t>
      </w:r>
      <w:r w:rsidR="00D0388B" w:rsidRPr="0030282C">
        <w:rPr>
          <w:lang w:val="uk-UA"/>
        </w:rPr>
        <w:t xml:space="preserve">паля, </w:t>
      </w:r>
      <w:proofErr w:type="spellStart"/>
      <w:r w:rsidR="00D0388B" w:rsidRPr="0030282C">
        <w:rPr>
          <w:lang w:val="uk-UA"/>
        </w:rPr>
        <w:t>коефіцієнтпористості</w:t>
      </w:r>
      <w:proofErr w:type="spellEnd"/>
      <w:r w:rsidRPr="0030282C">
        <w:rPr>
          <w:lang w:val="uk-UA"/>
        </w:rPr>
        <w:t>, напружено-деформований стан.</w:t>
      </w:r>
    </w:p>
    <w:p w:rsidR="00CC4D34" w:rsidRPr="0030282C" w:rsidRDefault="00CC4D34" w:rsidP="00FB64A4">
      <w:pPr>
        <w:pStyle w:val="OCSi"/>
        <w:spacing w:after="0" w:line="240" w:lineRule="auto"/>
        <w:ind w:firstLine="284"/>
      </w:pPr>
    </w:p>
    <w:p w:rsidR="00CC4D34" w:rsidRDefault="00CC4D34" w:rsidP="00FB64A4">
      <w:pPr>
        <w:pStyle w:val="OCSeng"/>
        <w:rPr>
          <w:b/>
          <w:lang w:val="en-US"/>
        </w:rPr>
      </w:pPr>
      <w:r w:rsidRPr="00E20132">
        <w:rPr>
          <w:b/>
          <w:lang w:val="en-US"/>
        </w:rPr>
        <w:t>Abstract</w:t>
      </w:r>
    </w:p>
    <w:p w:rsidR="008713C9" w:rsidRDefault="001E3A36" w:rsidP="00FB64A4">
      <w:pPr>
        <w:pStyle w:val="OCSeng"/>
      </w:pPr>
      <w:r>
        <w:rPr>
          <w:lang/>
        </w:rPr>
        <w:t>Numerical simulation is performed using the finite elements</w:t>
      </w:r>
      <w:r>
        <w:rPr>
          <w:lang w:val="en-US"/>
        </w:rPr>
        <w:t>method</w:t>
      </w:r>
      <w:r>
        <w:rPr>
          <w:lang/>
        </w:rPr>
        <w:t xml:space="preserve"> of the drill pile work in sandy soils of various types. The influence of the coefficient of porosity of sandy soils on the bearing capacity of a drill bit is analyzed. A table of values of the specific resistance on the lateral surface of the pile is obtained taking into account the coefficient of porosity.</w:t>
      </w:r>
    </w:p>
    <w:p w:rsidR="00CC4D34" w:rsidRPr="00D0388B" w:rsidRDefault="00CC4D34" w:rsidP="00FB64A4">
      <w:pPr>
        <w:pStyle w:val="OCSeng0"/>
      </w:pPr>
      <w:r w:rsidRPr="00E20132">
        <w:rPr>
          <w:rStyle w:val="hps"/>
          <w:b/>
        </w:rPr>
        <w:t>Keywords</w:t>
      </w:r>
      <w:r w:rsidRPr="00641DF2">
        <w:rPr>
          <w:rStyle w:val="hps"/>
        </w:rPr>
        <w:t>:</w:t>
      </w:r>
      <w:r w:rsidR="00D0388B" w:rsidRPr="00D0388B">
        <w:rPr>
          <w:rStyle w:val="hps"/>
        </w:rPr>
        <w:t>pile, voids ratio, mode of deformation.</w:t>
      </w:r>
    </w:p>
    <w:p w:rsidR="00D0388B" w:rsidRPr="00D0388B" w:rsidRDefault="00D0388B" w:rsidP="00FB64A4">
      <w:pPr>
        <w:pStyle w:val="OCSi"/>
        <w:spacing w:before="240"/>
        <w:ind w:firstLine="284"/>
        <w:rPr>
          <w:lang w:val="ru-RU"/>
        </w:rPr>
      </w:pPr>
      <w:r w:rsidRPr="00641DF2">
        <w:t>Вступ</w:t>
      </w:r>
    </w:p>
    <w:p w:rsidR="004E2AF0" w:rsidRPr="00CC4D34" w:rsidRDefault="00571F6E" w:rsidP="00FB64A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C4D34">
        <w:rPr>
          <w:rFonts w:ascii="Times New Roman" w:hAnsi="Times New Roman" w:cs="Times New Roman"/>
        </w:rPr>
        <w:t xml:space="preserve">Фундаменти із бурових паль передбачають у тих випадках, коли потрібна міцна </w:t>
      </w:r>
      <w:r w:rsidR="00653ED6" w:rsidRPr="00CC4D34">
        <w:rPr>
          <w:rFonts w:ascii="Times New Roman" w:hAnsi="Times New Roman" w:cs="Times New Roman"/>
        </w:rPr>
        <w:t>та надійна основа</w:t>
      </w:r>
      <w:r w:rsidR="00C01AEF" w:rsidRPr="00CC4D34">
        <w:rPr>
          <w:rFonts w:ascii="Times New Roman" w:hAnsi="Times New Roman" w:cs="Times New Roman"/>
        </w:rPr>
        <w:t xml:space="preserve">. </w:t>
      </w:r>
      <w:r w:rsidR="00653ED6" w:rsidRPr="00CC4D34">
        <w:rPr>
          <w:rFonts w:ascii="Times New Roman" w:hAnsi="Times New Roman" w:cs="Times New Roman"/>
        </w:rPr>
        <w:t xml:space="preserve">Чинними нормами не </w:t>
      </w:r>
      <w:r w:rsidR="00D90E54">
        <w:rPr>
          <w:rFonts w:ascii="Times New Roman" w:hAnsi="Times New Roman" w:cs="Times New Roman"/>
        </w:rPr>
        <w:t>врахова</w:t>
      </w:r>
      <w:r w:rsidR="00653ED6" w:rsidRPr="00CC4D34">
        <w:rPr>
          <w:rFonts w:ascii="Times New Roman" w:hAnsi="Times New Roman" w:cs="Times New Roman"/>
        </w:rPr>
        <w:t>но</w:t>
      </w:r>
      <w:r w:rsidR="00D90E54">
        <w:rPr>
          <w:rFonts w:ascii="Times New Roman" w:hAnsi="Times New Roman" w:cs="Times New Roman"/>
        </w:rPr>
        <w:t>,</w:t>
      </w:r>
      <w:r w:rsidR="00653ED6" w:rsidRPr="00CC4D34">
        <w:rPr>
          <w:rFonts w:ascii="Times New Roman" w:hAnsi="Times New Roman" w:cs="Times New Roman"/>
        </w:rPr>
        <w:t xml:space="preserve"> як змінюється несуча </w:t>
      </w:r>
      <w:r w:rsidR="00D90E54">
        <w:rPr>
          <w:rFonts w:ascii="Times New Roman" w:hAnsi="Times New Roman" w:cs="Times New Roman"/>
        </w:rPr>
        <w:t>здат</w:t>
      </w:r>
      <w:r w:rsidR="00653ED6" w:rsidRPr="00CC4D34">
        <w:rPr>
          <w:rFonts w:ascii="Times New Roman" w:hAnsi="Times New Roman" w:cs="Times New Roman"/>
        </w:rPr>
        <w:t xml:space="preserve">ність паль </w:t>
      </w:r>
      <w:r w:rsidR="00D90E54">
        <w:rPr>
          <w:rFonts w:ascii="Times New Roman" w:hAnsi="Times New Roman" w:cs="Times New Roman"/>
        </w:rPr>
        <w:t xml:space="preserve">в залежності </w:t>
      </w:r>
      <w:r w:rsidR="00653ED6" w:rsidRPr="00CC4D34">
        <w:rPr>
          <w:rFonts w:ascii="Times New Roman" w:hAnsi="Times New Roman" w:cs="Times New Roman"/>
        </w:rPr>
        <w:t xml:space="preserve">від коефіцієнта пористості </w:t>
      </w:r>
      <w:r w:rsidR="00470A3C" w:rsidRPr="00CC4D34">
        <w:rPr>
          <w:rFonts w:ascii="Times New Roman" w:hAnsi="Times New Roman" w:cs="Times New Roman"/>
        </w:rPr>
        <w:t>ґрунту</w:t>
      </w:r>
      <w:r w:rsidR="009727EB" w:rsidRPr="0030282C">
        <w:rPr>
          <w:rFonts w:ascii="Times New Roman" w:hAnsi="Times New Roman" w:cs="Times New Roman"/>
        </w:rPr>
        <w:t>[1]</w:t>
      </w:r>
      <w:proofErr w:type="spellStart"/>
      <w:r w:rsidR="00653ED6" w:rsidRPr="00CC4D34">
        <w:rPr>
          <w:rFonts w:ascii="Times New Roman" w:hAnsi="Times New Roman" w:cs="Times New Roman"/>
        </w:rPr>
        <w:t>.</w:t>
      </w:r>
      <w:r w:rsidR="009727EB" w:rsidRPr="0030282C">
        <w:rPr>
          <w:rFonts w:ascii="Times New Roman" w:hAnsi="Times New Roman" w:cs="Times New Roman"/>
        </w:rPr>
        <w:t>Аналіздосліднихданих</w:t>
      </w:r>
      <w:proofErr w:type="spellEnd"/>
      <w:r w:rsidR="009727EB" w:rsidRPr="0030282C">
        <w:rPr>
          <w:rFonts w:ascii="Times New Roman" w:hAnsi="Times New Roman" w:cs="Times New Roman"/>
        </w:rPr>
        <w:t xml:space="preserve"> доводить, </w:t>
      </w:r>
      <w:proofErr w:type="spellStart"/>
      <w:r w:rsidR="009727EB" w:rsidRPr="0030282C">
        <w:rPr>
          <w:rFonts w:ascii="Times New Roman" w:hAnsi="Times New Roman" w:cs="Times New Roman"/>
        </w:rPr>
        <w:t>щотаказалежність</w:t>
      </w:r>
      <w:proofErr w:type="spellEnd"/>
      <w:r w:rsidR="009727EB" w:rsidRPr="0030282C">
        <w:rPr>
          <w:rFonts w:ascii="Times New Roman" w:hAnsi="Times New Roman" w:cs="Times New Roman"/>
        </w:rPr>
        <w:t xml:space="preserve"> є [2</w:t>
      </w:r>
      <w:r w:rsidR="008713C9" w:rsidRPr="0030282C">
        <w:rPr>
          <w:rFonts w:ascii="Times New Roman" w:hAnsi="Times New Roman" w:cs="Times New Roman"/>
        </w:rPr>
        <w:t>, 3</w:t>
      </w:r>
      <w:r w:rsidR="009727EB" w:rsidRPr="0030282C">
        <w:rPr>
          <w:rFonts w:ascii="Times New Roman" w:hAnsi="Times New Roman" w:cs="Times New Roman"/>
        </w:rPr>
        <w:t>]</w:t>
      </w:r>
      <w:proofErr w:type="spellStart"/>
      <w:r w:rsidR="009727EB" w:rsidRPr="0030282C">
        <w:rPr>
          <w:rFonts w:ascii="Times New Roman" w:hAnsi="Times New Roman" w:cs="Times New Roman"/>
        </w:rPr>
        <w:t>.</w:t>
      </w:r>
      <w:r w:rsidR="009727EB">
        <w:rPr>
          <w:rFonts w:ascii="Times New Roman" w:hAnsi="Times New Roman" w:cs="Times New Roman"/>
        </w:rPr>
        <w:t>Метою</w:t>
      </w:r>
      <w:proofErr w:type="spellEnd"/>
      <w:r w:rsidR="009727EB">
        <w:rPr>
          <w:rFonts w:ascii="Times New Roman" w:hAnsi="Times New Roman" w:cs="Times New Roman"/>
        </w:rPr>
        <w:t xml:space="preserve"> даної роботи є визначення</w:t>
      </w:r>
      <w:r w:rsidR="007A3EAD" w:rsidRPr="00CC4D34">
        <w:rPr>
          <w:rFonts w:ascii="Times New Roman" w:hAnsi="Times New Roman" w:cs="Times New Roman"/>
        </w:rPr>
        <w:t>в</w:t>
      </w:r>
      <w:r w:rsidR="00470A3C">
        <w:rPr>
          <w:rFonts w:ascii="Times New Roman" w:hAnsi="Times New Roman" w:cs="Times New Roman"/>
        </w:rPr>
        <w:t>п</w:t>
      </w:r>
      <w:r w:rsidR="007A3EAD" w:rsidRPr="00CC4D34">
        <w:rPr>
          <w:rFonts w:ascii="Times New Roman" w:hAnsi="Times New Roman" w:cs="Times New Roman"/>
        </w:rPr>
        <w:t>лив</w:t>
      </w:r>
      <w:r w:rsidR="009727EB">
        <w:rPr>
          <w:rFonts w:ascii="Times New Roman" w:hAnsi="Times New Roman" w:cs="Times New Roman"/>
        </w:rPr>
        <w:t>у</w:t>
      </w:r>
      <w:r w:rsidR="00653ED6" w:rsidRPr="00CC4D34">
        <w:rPr>
          <w:rFonts w:ascii="Times New Roman" w:hAnsi="Times New Roman" w:cs="Times New Roman"/>
        </w:rPr>
        <w:t xml:space="preserve">коефіцієнта пористості </w:t>
      </w:r>
      <w:r w:rsidR="007A3EAD" w:rsidRPr="00CC4D34">
        <w:rPr>
          <w:rFonts w:ascii="Times New Roman" w:hAnsi="Times New Roman" w:cs="Times New Roman"/>
        </w:rPr>
        <w:t>н</w:t>
      </w:r>
      <w:r w:rsidR="00FE785E" w:rsidRPr="00CC4D34">
        <w:rPr>
          <w:rFonts w:ascii="Times New Roman" w:hAnsi="Times New Roman" w:cs="Times New Roman"/>
        </w:rPr>
        <w:t xml:space="preserve">а несучу здатність бурових паль у піщаних </w:t>
      </w:r>
      <w:r w:rsidR="00470A3C" w:rsidRPr="00CC4D34">
        <w:rPr>
          <w:rFonts w:ascii="Times New Roman" w:hAnsi="Times New Roman" w:cs="Times New Roman"/>
        </w:rPr>
        <w:t>ґрунтах</w:t>
      </w:r>
      <w:r w:rsidR="00FE785E" w:rsidRPr="00CC4D34">
        <w:rPr>
          <w:rFonts w:ascii="Times New Roman" w:hAnsi="Times New Roman" w:cs="Times New Roman"/>
        </w:rPr>
        <w:t>.</w:t>
      </w:r>
    </w:p>
    <w:p w:rsidR="002461AA" w:rsidRPr="00901423" w:rsidRDefault="002461AA" w:rsidP="00FB64A4">
      <w:pPr>
        <w:pStyle w:val="OCSi"/>
        <w:spacing w:before="240"/>
        <w:ind w:firstLine="284"/>
        <w:rPr>
          <w:lang w:val="ru-RU"/>
        </w:rPr>
      </w:pPr>
      <w:r w:rsidRPr="00641DF2">
        <w:t>Результати дослідження</w:t>
      </w:r>
    </w:p>
    <w:p w:rsidR="00470A3C" w:rsidRPr="006D79BE" w:rsidRDefault="00470A3C" w:rsidP="00470A3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D79BE">
        <w:rPr>
          <w:rFonts w:ascii="Times New Roman" w:hAnsi="Times New Roman" w:cs="Times New Roman"/>
        </w:rPr>
        <w:t xml:space="preserve">При вирішенні поставленої задачі </w:t>
      </w:r>
      <w:r w:rsidRPr="006D79BE">
        <w:rPr>
          <w:rFonts w:ascii="Times New Roman" w:hAnsi="Times New Roman" w:cs="Times New Roman"/>
          <w:lang w:eastAsia="uk-UA"/>
        </w:rPr>
        <w:t xml:space="preserve">були використані результати статичних випробувань бурових паль, виконаних у </w:t>
      </w:r>
      <w:r w:rsidRPr="006D79BE">
        <w:rPr>
          <w:rFonts w:ascii="Times New Roman" w:hAnsi="Times New Roman" w:cs="Times New Roman"/>
        </w:rPr>
        <w:t>Науково-дослідному інституті будівельного виробництва</w:t>
      </w:r>
      <w:r>
        <w:rPr>
          <w:rFonts w:ascii="Times New Roman" w:hAnsi="Times New Roman" w:cs="Times New Roman"/>
        </w:rPr>
        <w:t xml:space="preserve"> та </w:t>
      </w:r>
      <w:r w:rsidRPr="006D79BE">
        <w:rPr>
          <w:rFonts w:ascii="Times New Roman" w:hAnsi="Times New Roman" w:cs="Times New Roman"/>
        </w:rPr>
        <w:t>Науково-дослідному інституті будівельн</w:t>
      </w:r>
      <w:r>
        <w:rPr>
          <w:rFonts w:ascii="Times New Roman" w:hAnsi="Times New Roman" w:cs="Times New Roman"/>
        </w:rPr>
        <w:t>ихконструкцій</w:t>
      </w:r>
      <w:r w:rsidRPr="006D79BE">
        <w:rPr>
          <w:rFonts w:ascii="Times New Roman" w:hAnsi="Times New Roman" w:cs="Times New Roman"/>
        </w:rPr>
        <w:t xml:space="preserve"> м. Київ. Розглянуті результати натурних випробувань </w:t>
      </w:r>
      <w:r w:rsidRPr="008C00C1">
        <w:rPr>
          <w:rFonts w:ascii="Times New Roman" w:hAnsi="Times New Roman" w:cs="Times New Roman"/>
        </w:rPr>
        <w:t>1</w:t>
      </w:r>
      <w:r w:rsidR="008C00C1" w:rsidRPr="008C00C1">
        <w:rPr>
          <w:rFonts w:ascii="Times New Roman" w:hAnsi="Times New Roman" w:cs="Times New Roman"/>
        </w:rPr>
        <w:t>5</w:t>
      </w:r>
      <w:r w:rsidRPr="008C00C1">
        <w:rPr>
          <w:rFonts w:ascii="Times New Roman" w:hAnsi="Times New Roman" w:cs="Times New Roman"/>
        </w:rPr>
        <w:t>-ти</w:t>
      </w:r>
      <w:r w:rsidRPr="006D79BE">
        <w:rPr>
          <w:rFonts w:ascii="Times New Roman" w:hAnsi="Times New Roman" w:cs="Times New Roman"/>
        </w:rPr>
        <w:t xml:space="preserve"> бурових паль з </w:t>
      </w:r>
      <w:r w:rsidRPr="008C00C1">
        <w:rPr>
          <w:rFonts w:ascii="Times New Roman" w:hAnsi="Times New Roman" w:cs="Times New Roman"/>
        </w:rPr>
        <w:t>10-ти</w:t>
      </w:r>
      <w:r w:rsidRPr="006D79BE">
        <w:rPr>
          <w:rFonts w:ascii="Times New Roman" w:hAnsi="Times New Roman" w:cs="Times New Roman"/>
        </w:rPr>
        <w:t xml:space="preserve"> різних площадок. Р</w:t>
      </w:r>
      <w:r>
        <w:rPr>
          <w:rFonts w:ascii="Times New Roman" w:hAnsi="Times New Roman" w:cs="Times New Roman"/>
        </w:rPr>
        <w:t>айони випроб</w:t>
      </w:r>
      <w:r w:rsidRPr="006D79BE">
        <w:rPr>
          <w:rFonts w:ascii="Times New Roman" w:hAnsi="Times New Roman" w:cs="Times New Roman"/>
        </w:rPr>
        <w:t>увань знахо</w:t>
      </w:r>
      <w:r>
        <w:rPr>
          <w:rFonts w:ascii="Times New Roman" w:hAnsi="Times New Roman" w:cs="Times New Roman"/>
        </w:rPr>
        <w:t>дяться в таких містах: м. Київ,</w:t>
      </w:r>
      <w:r w:rsidRPr="006D79BE">
        <w:rPr>
          <w:rFonts w:ascii="Times New Roman" w:hAnsi="Times New Roman" w:cs="Times New Roman"/>
        </w:rPr>
        <w:t xml:space="preserve"> м. Бровари та </w:t>
      </w:r>
      <w:proofErr w:type="spellStart"/>
      <w:r w:rsidRPr="006D79BE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>Бориспіль</w:t>
      </w:r>
      <w:proofErr w:type="spellEnd"/>
      <w:r w:rsidRPr="006D79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Майданчики мали різні ґрунтові умови, обирались палі, що повністю розташовані в піщаних ґрунтах.</w:t>
      </w:r>
      <w:r w:rsidRPr="006D79BE">
        <w:rPr>
          <w:rFonts w:ascii="Times New Roman" w:hAnsi="Times New Roman" w:cs="Times New Roman"/>
        </w:rPr>
        <w:t>Випробовувались палі різної довжини. Довжини паль знаходяться в діапазоні від 2 до 1</w:t>
      </w:r>
      <w:r>
        <w:rPr>
          <w:rFonts w:ascii="Times New Roman" w:hAnsi="Times New Roman" w:cs="Times New Roman"/>
        </w:rPr>
        <w:t>0</w:t>
      </w:r>
      <w:r w:rsidRPr="006D79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</w:t>
      </w:r>
      <w:r w:rsidRPr="006D79BE">
        <w:rPr>
          <w:rFonts w:ascii="Times New Roman" w:hAnsi="Times New Roman" w:cs="Times New Roman"/>
        </w:rPr>
        <w:t xml:space="preserve"> м. Діаметр ствола паль знаходитьс</w:t>
      </w:r>
      <w:r>
        <w:rPr>
          <w:rFonts w:ascii="Times New Roman" w:hAnsi="Times New Roman" w:cs="Times New Roman"/>
        </w:rPr>
        <w:t>я в межах від 0,4 м до 0,83 м</w:t>
      </w:r>
      <w:r w:rsidRPr="006D79BE">
        <w:rPr>
          <w:rFonts w:ascii="Times New Roman" w:hAnsi="Times New Roman" w:cs="Times New Roman"/>
        </w:rPr>
        <w:t xml:space="preserve">. Навантаження, яке може витримати конкретна бурова паля визначалося при досягнені межі осідання </w:t>
      </w:r>
      <w:r w:rsidRPr="006D79BE">
        <w:rPr>
          <w:rFonts w:ascii="Times New Roman" w:hAnsi="Times New Roman" w:cs="Times New Roman"/>
          <w:lang w:val="en-US"/>
        </w:rPr>
        <w:t>s</w:t>
      </w:r>
      <w:r w:rsidRPr="006D79BE">
        <w:rPr>
          <w:rFonts w:ascii="Times New Roman" w:hAnsi="Times New Roman" w:cs="Times New Roman"/>
        </w:rPr>
        <w:t xml:space="preserve"> = 40 мм. </w:t>
      </w:r>
    </w:p>
    <w:p w:rsidR="00470A3C" w:rsidRPr="006D79BE" w:rsidRDefault="00470A3C" w:rsidP="00470A3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6D79BE">
        <w:rPr>
          <w:rFonts w:ascii="Times New Roman" w:hAnsi="Times New Roman" w:cs="Times New Roman"/>
          <w:color w:val="000000" w:themeColor="text1"/>
        </w:rPr>
        <w:t xml:space="preserve">На рис. 1 представлені результати порівняння несучої здатності бурових паль, визначеної розрахунком за методикою норм [1], та несучої здатності за результатами польових випробувань статичним навантаженням. </w:t>
      </w:r>
      <w:r w:rsidRPr="006D79BE">
        <w:rPr>
          <w:rFonts w:ascii="Times New Roman" w:hAnsi="Times New Roman" w:cs="Times New Roman"/>
          <w:color w:val="000000"/>
        </w:rPr>
        <w:t xml:space="preserve">На горизонтальній осі даних графіків показана несуча здатність палі </w:t>
      </w:r>
      <w:r w:rsidRPr="006D79BE">
        <w:rPr>
          <w:rFonts w:ascii="Times New Roman" w:hAnsi="Times New Roman" w:cs="Times New Roman"/>
          <w:color w:val="000000"/>
          <w:lang w:val="en-US"/>
        </w:rPr>
        <w:t>F</w:t>
      </w:r>
      <w:r w:rsidRPr="006D79BE">
        <w:rPr>
          <w:rFonts w:ascii="Times New Roman" w:hAnsi="Times New Roman" w:cs="Times New Roman"/>
          <w:color w:val="000000"/>
        </w:rPr>
        <w:t>, визначена за результатами статичних випробувань, а по вертикальній осі - несуча здатність F</w:t>
      </w:r>
      <w:r w:rsidRPr="006D79BE">
        <w:rPr>
          <w:rFonts w:ascii="Times New Roman" w:hAnsi="Times New Roman" w:cs="Times New Roman"/>
          <w:color w:val="000000"/>
          <w:vertAlign w:val="subscript"/>
        </w:rPr>
        <w:t>1</w:t>
      </w:r>
      <w:r w:rsidRPr="006D79BE">
        <w:rPr>
          <w:rFonts w:ascii="Times New Roman" w:hAnsi="Times New Roman" w:cs="Times New Roman"/>
          <w:color w:val="000000"/>
        </w:rPr>
        <w:t xml:space="preserve"> розрахована відповідно до норм. Діагональна </w:t>
      </w:r>
      <w:r w:rsidR="008C00C1" w:rsidRPr="008C00C1">
        <w:rPr>
          <w:rFonts w:ascii="Times New Roman" w:hAnsi="Times New Roman" w:cs="Times New Roman"/>
          <w:color w:val="000000"/>
        </w:rPr>
        <w:t>суціль</w:t>
      </w:r>
      <w:r w:rsidRPr="008C00C1">
        <w:rPr>
          <w:rFonts w:ascii="Times New Roman" w:hAnsi="Times New Roman" w:cs="Times New Roman"/>
          <w:color w:val="000000"/>
        </w:rPr>
        <w:t>на лінія</w:t>
      </w:r>
      <w:r w:rsidRPr="006D79BE">
        <w:rPr>
          <w:rFonts w:ascii="Times New Roman" w:hAnsi="Times New Roman" w:cs="Times New Roman"/>
          <w:color w:val="000000"/>
        </w:rPr>
        <w:t xml:space="preserve"> на графіку відповідає ідеальному збігу резуль</w:t>
      </w:r>
      <w:r>
        <w:rPr>
          <w:rFonts w:ascii="Times New Roman" w:hAnsi="Times New Roman" w:cs="Times New Roman"/>
          <w:color w:val="000000"/>
        </w:rPr>
        <w:t>татів розрахунку і випробувань.</w:t>
      </w:r>
    </w:p>
    <w:p w:rsidR="00470A3C" w:rsidRDefault="00470A3C" w:rsidP="00470A3C">
      <w:pPr>
        <w:tabs>
          <w:tab w:val="left" w:pos="284"/>
          <w:tab w:val="left" w:pos="567"/>
          <w:tab w:val="left" w:pos="709"/>
          <w:tab w:val="left" w:pos="9214"/>
          <w:tab w:val="left" w:pos="9498"/>
          <w:tab w:val="left" w:pos="9638"/>
        </w:tabs>
        <w:spacing w:after="0" w:line="240" w:lineRule="auto"/>
        <w:ind w:right="-143" w:firstLine="284"/>
        <w:jc w:val="both"/>
        <w:rPr>
          <w:rFonts w:ascii="Times New Roman" w:hAnsi="Times New Roman" w:cs="Times New Roman"/>
        </w:rPr>
      </w:pPr>
      <w:r w:rsidRPr="006D79BE">
        <w:rPr>
          <w:rFonts w:ascii="Times New Roman" w:hAnsi="Times New Roman" w:cs="Times New Roman"/>
          <w:color w:val="000000" w:themeColor="text1"/>
        </w:rPr>
        <w:t xml:space="preserve">Результати розрахунку і статичних випробувань практично співпали в </w:t>
      </w:r>
      <w:r w:rsidR="008C00C1">
        <w:rPr>
          <w:rFonts w:ascii="Times New Roman" w:hAnsi="Times New Roman" w:cs="Times New Roman"/>
          <w:color w:val="000000" w:themeColor="text1"/>
        </w:rPr>
        <w:t>чотирьох</w:t>
      </w:r>
      <w:r w:rsidRPr="006D79BE">
        <w:rPr>
          <w:rFonts w:ascii="Times New Roman" w:hAnsi="Times New Roman" w:cs="Times New Roman"/>
          <w:color w:val="000000" w:themeColor="text1"/>
        </w:rPr>
        <w:t xml:space="preserve"> з випадків (2</w:t>
      </w:r>
      <w:r w:rsidR="008C00C1">
        <w:rPr>
          <w:rFonts w:ascii="Times New Roman" w:hAnsi="Times New Roman" w:cs="Times New Roman"/>
          <w:color w:val="000000" w:themeColor="text1"/>
        </w:rPr>
        <w:t>7</w:t>
      </w:r>
      <w:r w:rsidRPr="006D79BE">
        <w:rPr>
          <w:rFonts w:ascii="Times New Roman" w:hAnsi="Times New Roman" w:cs="Times New Roman"/>
          <w:color w:val="000000" w:themeColor="text1"/>
        </w:rPr>
        <w:t>% розглянутих випадків).</w:t>
      </w:r>
      <w:r w:rsidRPr="000E0152">
        <w:rPr>
          <w:rFonts w:ascii="Times New Roman" w:hAnsi="Times New Roman" w:cs="Times New Roman"/>
          <w:color w:val="000000" w:themeColor="text1"/>
        </w:rPr>
        <w:t xml:space="preserve"> Коефіцієнт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запасу (</w:t>
      </w:r>
      <w:r w:rsidRPr="006D79BE">
        <w:rPr>
          <w:rFonts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</w:rPr>
        <w:t>/</w:t>
      </w:r>
      <w:r w:rsidRPr="006D79BE">
        <w:rPr>
          <w:rFonts w:ascii="Times New Roman" w:hAnsi="Times New Roman" w:cs="Times New Roman"/>
          <w:color w:val="000000"/>
        </w:rPr>
        <w:t>F</w:t>
      </w:r>
      <w:r w:rsidRPr="006D79BE">
        <w:rPr>
          <w:rFonts w:ascii="Times New Roman" w:hAnsi="Times New Roman" w:cs="Times New Roman"/>
          <w:color w:val="000000"/>
          <w:vertAlign w:val="subscript"/>
        </w:rPr>
        <w:t>1</w:t>
      </w:r>
      <w:r>
        <w:rPr>
          <w:rFonts w:ascii="Times New Roman" w:hAnsi="Times New Roman" w:cs="Times New Roman"/>
          <w:color w:val="000000"/>
        </w:rPr>
        <w:t>)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несучої</w:t>
      </w:r>
      <w:proofErr w:type="spellEnd"/>
      <w:r w:rsidRPr="000E0152">
        <w:rPr>
          <w:rFonts w:ascii="Times New Roman" w:hAnsi="Times New Roman" w:cs="Times New Roman"/>
          <w:color w:val="000000" w:themeColor="text1"/>
        </w:rPr>
        <w:t xml:space="preserve"> здатності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порівнянні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розрахунком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за нормами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складає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до 1,97.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Аналізодержанихкоефіцієнтів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запасу показав,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є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пряма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залежністьїх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величину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відкоефіцієнтупористостіпіску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. При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низькихкоефіцієнтахпористості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запас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значний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, а при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високихнизькийабовідсутній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236720" w:rsidRDefault="00236720" w:rsidP="00597D2F">
      <w:pPr>
        <w:tabs>
          <w:tab w:val="left" w:pos="284"/>
          <w:tab w:val="left" w:pos="567"/>
          <w:tab w:val="left" w:pos="709"/>
          <w:tab w:val="left" w:pos="9214"/>
          <w:tab w:val="left" w:pos="9498"/>
          <w:tab w:val="left" w:pos="9638"/>
        </w:tabs>
        <w:spacing w:after="0" w:line="240" w:lineRule="auto"/>
        <w:ind w:right="-143" w:firstLine="284"/>
        <w:jc w:val="both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cs="Times New Roman"/>
        </w:rPr>
        <w:t>Для розв’язання</w:t>
      </w:r>
      <w:r w:rsidR="0050368B" w:rsidRPr="00CC4D34">
        <w:rPr>
          <w:rFonts w:ascii="Times New Roman" w:hAnsi="Times New Roman" w:cs="Times New Roman"/>
        </w:rPr>
        <w:t xml:space="preserve"> поставленої задачі використовувався геотехнічний програмний комплекс «</w:t>
      </w:r>
      <w:proofErr w:type="spellStart"/>
      <w:r w:rsidR="0050368B" w:rsidRPr="00CC4D34">
        <w:rPr>
          <w:rFonts w:ascii="Times New Roman" w:hAnsi="Times New Roman" w:cs="Times New Roman"/>
          <w:lang w:val="en-US"/>
        </w:rPr>
        <w:t>Plaxis</w:t>
      </w:r>
      <w:proofErr w:type="spellEnd"/>
      <w:r w:rsidR="0050368B" w:rsidRPr="00CC4D34">
        <w:rPr>
          <w:rFonts w:ascii="Times New Roman" w:hAnsi="Times New Roman" w:cs="Times New Roman"/>
        </w:rPr>
        <w:t xml:space="preserve"> 3</w:t>
      </w:r>
      <w:proofErr w:type="spellStart"/>
      <w:r w:rsidR="0050368B" w:rsidRPr="00CC4D34">
        <w:rPr>
          <w:rFonts w:ascii="Times New Roman" w:hAnsi="Times New Roman" w:cs="Times New Roman"/>
          <w:lang w:val="en-US"/>
        </w:rPr>
        <w:t>DFaundation</w:t>
      </w:r>
      <w:proofErr w:type="spellEnd"/>
      <w:r w:rsidR="0050368B" w:rsidRPr="00CC4D34">
        <w:rPr>
          <w:rFonts w:ascii="Times New Roman" w:hAnsi="Times New Roman" w:cs="Times New Roman"/>
        </w:rPr>
        <w:t xml:space="preserve">», за допомогою якого </w:t>
      </w:r>
      <w:r>
        <w:rPr>
          <w:rFonts w:ascii="Times New Roman" w:hAnsi="Times New Roman" w:cs="Times New Roman"/>
        </w:rPr>
        <w:t>моделювався</w:t>
      </w:r>
      <w:r w:rsidR="0050368B" w:rsidRPr="00CC4D34">
        <w:rPr>
          <w:rFonts w:ascii="Times New Roman" w:hAnsi="Times New Roman" w:cs="Times New Roman"/>
        </w:rPr>
        <w:t xml:space="preserve"> напружено-деформований стан </w:t>
      </w:r>
      <w:r w:rsidR="00F663F6" w:rsidRPr="00CC4D34">
        <w:rPr>
          <w:rFonts w:ascii="Times New Roman" w:hAnsi="Times New Roman" w:cs="Times New Roman"/>
        </w:rPr>
        <w:t>бурової палі</w:t>
      </w:r>
      <w:r>
        <w:rPr>
          <w:rFonts w:ascii="Times New Roman" w:hAnsi="Times New Roman" w:cs="Times New Roman"/>
        </w:rPr>
        <w:t xml:space="preserve"> в пісках різної крупності та щільності</w:t>
      </w:r>
      <w:r w:rsidR="0050368B" w:rsidRPr="00CC4D34">
        <w:rPr>
          <w:rFonts w:ascii="Times New Roman" w:hAnsi="Times New Roman" w:cs="Times New Roman"/>
        </w:rPr>
        <w:t xml:space="preserve">. При моделюванні використовувались 14 видів піщаних </w:t>
      </w:r>
      <w:r w:rsidR="008C00C1" w:rsidRPr="00CC4D34">
        <w:rPr>
          <w:rFonts w:ascii="Times New Roman" w:hAnsi="Times New Roman" w:cs="Times New Roman"/>
        </w:rPr>
        <w:t>ґрунтів</w:t>
      </w:r>
      <w:r w:rsidR="00D55F36">
        <w:rPr>
          <w:rFonts w:ascii="Times New Roman" w:hAnsi="Times New Roman" w:cs="Times New Roman"/>
        </w:rPr>
        <w:t xml:space="preserve"> різної крупності з варіюванням коефіцієнту пористості у фізично можливому діапазоні.</w:t>
      </w:r>
    </w:p>
    <w:p w:rsidR="005D53B1" w:rsidRDefault="00C1794D" w:rsidP="00FB64A4">
      <w:pPr>
        <w:tabs>
          <w:tab w:val="left" w:pos="284"/>
          <w:tab w:val="left" w:pos="567"/>
          <w:tab w:val="left" w:pos="709"/>
          <w:tab w:val="left" w:pos="9214"/>
          <w:tab w:val="left" w:pos="9498"/>
          <w:tab w:val="left" w:pos="9638"/>
        </w:tabs>
        <w:spacing w:after="0" w:line="240" w:lineRule="auto"/>
        <w:ind w:right="-143" w:firstLine="284"/>
        <w:jc w:val="both"/>
        <w:rPr>
          <w:rFonts w:ascii="Times New Roman" w:hAnsi="Times New Roman" w:cs="Times New Roman"/>
          <w:spacing w:val="-20"/>
        </w:rPr>
      </w:pPr>
      <w:r w:rsidRPr="00CC4D34">
        <w:rPr>
          <w:rFonts w:ascii="Times New Roman" w:hAnsi="Times New Roman" w:cs="Times New Roman"/>
          <w:spacing w:val="-20"/>
        </w:rPr>
        <w:t>Несуча здатність б</w:t>
      </w:r>
      <w:r w:rsidR="00CB59EB" w:rsidRPr="00CC4D34">
        <w:rPr>
          <w:rFonts w:ascii="Times New Roman" w:hAnsi="Times New Roman" w:cs="Times New Roman"/>
          <w:spacing w:val="-20"/>
        </w:rPr>
        <w:t>уров</w:t>
      </w:r>
      <w:r w:rsidRPr="00CC4D34">
        <w:rPr>
          <w:rFonts w:ascii="Times New Roman" w:hAnsi="Times New Roman" w:cs="Times New Roman"/>
          <w:spacing w:val="-20"/>
        </w:rPr>
        <w:t>ої</w:t>
      </w:r>
      <w:r w:rsidR="00CB59EB" w:rsidRPr="00CC4D34">
        <w:rPr>
          <w:rFonts w:ascii="Times New Roman" w:hAnsi="Times New Roman" w:cs="Times New Roman"/>
          <w:spacing w:val="-20"/>
        </w:rPr>
        <w:t xml:space="preserve"> пал</w:t>
      </w:r>
      <w:r w:rsidRPr="00CC4D34">
        <w:rPr>
          <w:rFonts w:ascii="Times New Roman" w:hAnsi="Times New Roman" w:cs="Times New Roman"/>
          <w:spacing w:val="-20"/>
        </w:rPr>
        <w:t>іØ0,5 м та довжиною 10 м визначалась при загальній деформації 4 см.</w:t>
      </w:r>
    </w:p>
    <w:p w:rsidR="00DA0FF9" w:rsidRPr="00CC4D34" w:rsidRDefault="00F3480C" w:rsidP="00FB64A4">
      <w:pPr>
        <w:tabs>
          <w:tab w:val="left" w:pos="8789"/>
          <w:tab w:val="left" w:pos="9214"/>
          <w:tab w:val="left" w:pos="9498"/>
          <w:tab w:val="left" w:pos="9638"/>
        </w:tabs>
        <w:spacing w:after="0" w:line="240" w:lineRule="auto"/>
        <w:ind w:right="-143" w:firstLine="284"/>
        <w:jc w:val="center"/>
        <w:rPr>
          <w:rFonts w:ascii="Times New Roman" w:hAnsi="Times New Roman" w:cs="Times New Roman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3693332" cy="2758641"/>
            <wp:effectExtent l="0" t="0" r="254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123" cy="277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F12" w:rsidRDefault="00CF6F12" w:rsidP="00FB64A4">
      <w:pPr>
        <w:pStyle w:val="a3"/>
        <w:spacing w:before="120" w:after="240" w:line="240" w:lineRule="auto"/>
        <w:ind w:left="0"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2461AA">
        <w:rPr>
          <w:rFonts w:ascii="Times New Roman" w:hAnsi="Times New Roman" w:cs="Times New Roman"/>
          <w:sz w:val="18"/>
          <w:szCs w:val="18"/>
        </w:rPr>
        <w:t xml:space="preserve">Рис.1. </w:t>
      </w:r>
      <w:r w:rsidR="00880BC4" w:rsidRPr="00880BC4">
        <w:rPr>
          <w:rFonts w:ascii="Times New Roman" w:hAnsi="Times New Roman" w:cs="Times New Roman"/>
          <w:color w:val="000000"/>
          <w:sz w:val="18"/>
          <w:szCs w:val="18"/>
        </w:rPr>
        <w:t xml:space="preserve">Графік відповідності розрахованої несучої здатності </w:t>
      </w:r>
      <w:r w:rsidR="00880BC4">
        <w:rPr>
          <w:rFonts w:ascii="Times New Roman" w:hAnsi="Times New Roman" w:cs="Times New Roman"/>
          <w:color w:val="000000"/>
          <w:sz w:val="18"/>
          <w:szCs w:val="18"/>
        </w:rPr>
        <w:t xml:space="preserve">бурових </w:t>
      </w:r>
      <w:r w:rsidR="00880BC4" w:rsidRPr="00880BC4">
        <w:rPr>
          <w:rFonts w:ascii="Times New Roman" w:hAnsi="Times New Roman" w:cs="Times New Roman"/>
          <w:color w:val="000000"/>
          <w:sz w:val="18"/>
          <w:szCs w:val="18"/>
        </w:rPr>
        <w:t>паль</w:t>
      </w:r>
      <w:r w:rsidR="00880BC4">
        <w:rPr>
          <w:rFonts w:ascii="Times New Roman" w:hAnsi="Times New Roman" w:cs="Times New Roman"/>
          <w:color w:val="000000"/>
          <w:sz w:val="18"/>
          <w:szCs w:val="18"/>
        </w:rPr>
        <w:t xml:space="preserve"> у піщаних </w:t>
      </w:r>
      <w:proofErr w:type="spellStart"/>
      <w:r w:rsidR="00880BC4">
        <w:rPr>
          <w:rFonts w:ascii="Times New Roman" w:hAnsi="Times New Roman" w:cs="Times New Roman"/>
          <w:color w:val="000000"/>
          <w:sz w:val="18"/>
          <w:szCs w:val="18"/>
        </w:rPr>
        <w:t>грунтах</w:t>
      </w:r>
      <w:proofErr w:type="spellEnd"/>
      <w:r w:rsidR="00880BC4" w:rsidRPr="00880BC4">
        <w:rPr>
          <w:rFonts w:ascii="Times New Roman" w:hAnsi="Times New Roman" w:cs="Times New Roman"/>
          <w:color w:val="000000"/>
          <w:sz w:val="18"/>
          <w:szCs w:val="18"/>
        </w:rPr>
        <w:t xml:space="preserve"> за </w:t>
      </w:r>
      <w:r w:rsidR="00880BC4">
        <w:rPr>
          <w:rFonts w:ascii="Times New Roman" w:hAnsi="Times New Roman" w:cs="Times New Roman"/>
          <w:color w:val="000000"/>
          <w:sz w:val="18"/>
          <w:szCs w:val="18"/>
        </w:rPr>
        <w:t xml:space="preserve">формулою норм </w:t>
      </w:r>
      <w:r w:rsidR="00880BC4" w:rsidRPr="00880BC4">
        <w:rPr>
          <w:rFonts w:ascii="Times New Roman" w:hAnsi="Times New Roman" w:cs="Times New Roman"/>
          <w:color w:val="000000"/>
          <w:sz w:val="18"/>
          <w:szCs w:val="18"/>
        </w:rPr>
        <w:t>[1] і несучої здатності, визначеної на підставі ре</w:t>
      </w:r>
      <w:r w:rsidR="00880BC4">
        <w:rPr>
          <w:rFonts w:ascii="Times New Roman" w:hAnsi="Times New Roman" w:cs="Times New Roman"/>
          <w:color w:val="000000"/>
          <w:sz w:val="18"/>
          <w:szCs w:val="18"/>
        </w:rPr>
        <w:t>зультатів статичних випробувань</w:t>
      </w:r>
    </w:p>
    <w:p w:rsidR="008713C9" w:rsidRDefault="008713C9" w:rsidP="008713C9">
      <w:pPr>
        <w:tabs>
          <w:tab w:val="left" w:pos="284"/>
          <w:tab w:val="left" w:pos="567"/>
          <w:tab w:val="left" w:pos="8789"/>
          <w:tab w:val="left" w:pos="9498"/>
          <w:tab w:val="left" w:pos="9638"/>
        </w:tabs>
        <w:spacing w:after="0" w:line="240" w:lineRule="auto"/>
        <w:ind w:right="-143" w:firstLine="284"/>
        <w:jc w:val="both"/>
        <w:rPr>
          <w:rFonts w:ascii="Times New Roman" w:hAnsi="Times New Roman" w:cs="Times New Roman"/>
        </w:rPr>
      </w:pPr>
      <w:r w:rsidRPr="00CC4D34">
        <w:rPr>
          <w:rFonts w:ascii="Times New Roman" w:hAnsi="Times New Roman" w:cs="Times New Roman"/>
        </w:rPr>
        <w:t xml:space="preserve">Результати, отримані </w:t>
      </w:r>
      <w:r>
        <w:rPr>
          <w:rFonts w:ascii="Times New Roman" w:hAnsi="Times New Roman" w:cs="Times New Roman"/>
        </w:rPr>
        <w:t xml:space="preserve">раніше </w:t>
      </w:r>
      <w:r w:rsidRPr="00CC4D34">
        <w:rPr>
          <w:rFonts w:ascii="Times New Roman" w:hAnsi="Times New Roman" w:cs="Times New Roman"/>
        </w:rPr>
        <w:t>при чисельному моделюванні</w:t>
      </w:r>
      <w:r w:rsidRPr="005262CE">
        <w:rPr>
          <w:rFonts w:ascii="Times New Roman" w:hAnsi="Times New Roman" w:cs="Times New Roman"/>
          <w:lang w:val="ru-RU"/>
        </w:rPr>
        <w:t>[3]</w:t>
      </w:r>
      <w:r w:rsidRPr="00CC4D34">
        <w:rPr>
          <w:rFonts w:ascii="Times New Roman" w:hAnsi="Times New Roman" w:cs="Times New Roman"/>
        </w:rPr>
        <w:t>, показали, що при збільшенні коефіцієнта пористості несуча здатність бурової палі зменшується на 30-68%.</w:t>
      </w:r>
    </w:p>
    <w:p w:rsidR="00597D2F" w:rsidRDefault="00D55F36" w:rsidP="00D55F36">
      <w:pPr>
        <w:pStyle w:val="OCSi"/>
        <w:spacing w:line="240" w:lineRule="auto"/>
        <w:ind w:firstLine="284"/>
        <w:jc w:val="both"/>
        <w:rPr>
          <w:b w:val="0"/>
        </w:rPr>
      </w:pPr>
      <w:r w:rsidRPr="00D55F36">
        <w:rPr>
          <w:b w:val="0"/>
          <w:spacing w:val="-20"/>
        </w:rPr>
        <w:t xml:space="preserve">У таблиці  1 наведені результати  розрахунку несучої здатності палі для обраних ґрунтів за  методиками, запропонованими нормами  </w:t>
      </w:r>
      <w:r w:rsidRPr="00D55F36">
        <w:rPr>
          <w:b w:val="0"/>
          <w:lang w:val="ru-RU"/>
        </w:rPr>
        <w:t xml:space="preserve">[1], та за результатами </w:t>
      </w:r>
      <w:proofErr w:type="spellStart"/>
      <w:r w:rsidRPr="00D55F36">
        <w:rPr>
          <w:b w:val="0"/>
          <w:lang w:val="ru-RU"/>
        </w:rPr>
        <w:t>чисельногомоделювання</w:t>
      </w:r>
      <w:proofErr w:type="spellEnd"/>
      <w:r w:rsidRPr="00D55F36">
        <w:rPr>
          <w:b w:val="0"/>
          <w:lang w:val="ru-RU"/>
        </w:rPr>
        <w:t xml:space="preserve"> у </w:t>
      </w:r>
      <w:r w:rsidRPr="00D55F36">
        <w:rPr>
          <w:b w:val="0"/>
        </w:rPr>
        <w:t>«</w:t>
      </w:r>
      <w:proofErr w:type="spellStart"/>
      <w:r w:rsidRPr="00D55F36">
        <w:rPr>
          <w:b w:val="0"/>
          <w:lang w:val="en-US"/>
        </w:rPr>
        <w:t>Plaxis</w:t>
      </w:r>
      <w:proofErr w:type="spellEnd"/>
      <w:r w:rsidRPr="00D55F36">
        <w:rPr>
          <w:b w:val="0"/>
        </w:rPr>
        <w:t xml:space="preserve"> 3</w:t>
      </w:r>
      <w:proofErr w:type="spellStart"/>
      <w:r w:rsidRPr="00D55F36">
        <w:rPr>
          <w:b w:val="0"/>
          <w:lang w:val="en-US"/>
        </w:rPr>
        <w:t>DFaundation</w:t>
      </w:r>
      <w:proofErr w:type="spellEnd"/>
      <w:r w:rsidRPr="00D55F36">
        <w:rPr>
          <w:b w:val="0"/>
        </w:rPr>
        <w:t>».</w:t>
      </w:r>
    </w:p>
    <w:p w:rsidR="00597D2F" w:rsidRPr="00D55F36" w:rsidRDefault="00597D2F" w:rsidP="00D55F36">
      <w:pPr>
        <w:spacing w:after="120" w:line="240" w:lineRule="auto"/>
        <w:ind w:left="284" w:firstLine="142"/>
        <w:jc w:val="both"/>
        <w:rPr>
          <w:rFonts w:ascii="Times New Roman" w:hAnsi="Times New Roman" w:cs="Times New Roman"/>
        </w:rPr>
      </w:pPr>
      <w:r w:rsidRPr="00D55F36">
        <w:rPr>
          <w:rFonts w:ascii="Times New Roman" w:hAnsi="Times New Roman" w:cs="Times New Roman"/>
        </w:rPr>
        <w:t>Таблиця 1 – Порівняння несучої здатності бурової палі, визначеної за методиками норм та при чисельному моделюванні у «</w:t>
      </w:r>
      <w:proofErr w:type="spellStart"/>
      <w:r w:rsidRPr="00D55F36">
        <w:rPr>
          <w:rFonts w:ascii="Times New Roman" w:hAnsi="Times New Roman" w:cs="Times New Roman"/>
          <w:lang w:val="en-US"/>
        </w:rPr>
        <w:t>Plaxis</w:t>
      </w:r>
      <w:proofErr w:type="spellEnd"/>
      <w:r w:rsidRPr="00D55F36">
        <w:rPr>
          <w:rFonts w:ascii="Times New Roman" w:hAnsi="Times New Roman" w:cs="Times New Roman"/>
        </w:rPr>
        <w:t xml:space="preserve"> 3</w:t>
      </w:r>
      <w:proofErr w:type="spellStart"/>
      <w:r w:rsidRPr="00D55F36">
        <w:rPr>
          <w:rFonts w:ascii="Times New Roman" w:hAnsi="Times New Roman" w:cs="Times New Roman"/>
          <w:lang w:val="en-US"/>
        </w:rPr>
        <w:t>DFaundation</w:t>
      </w:r>
      <w:proofErr w:type="spellEnd"/>
      <w:r w:rsidRPr="00D55F36">
        <w:rPr>
          <w:rFonts w:ascii="Times New Roman" w:hAnsi="Times New Roman" w:cs="Times New Roman"/>
        </w:rPr>
        <w:t>»</w:t>
      </w:r>
    </w:p>
    <w:tbl>
      <w:tblPr>
        <w:tblW w:w="9127" w:type="dxa"/>
        <w:tblInd w:w="274" w:type="dxa"/>
        <w:tblLayout w:type="fixed"/>
        <w:tblLook w:val="04A0"/>
      </w:tblPr>
      <w:tblGrid>
        <w:gridCol w:w="1164"/>
        <w:gridCol w:w="710"/>
        <w:gridCol w:w="628"/>
        <w:gridCol w:w="685"/>
        <w:gridCol w:w="732"/>
        <w:gridCol w:w="936"/>
        <w:gridCol w:w="1706"/>
        <w:gridCol w:w="1706"/>
        <w:gridCol w:w="860"/>
      </w:tblGrid>
      <w:tr w:rsidR="00597D2F" w:rsidRPr="006F4307" w:rsidTr="00597D2F">
        <w:trPr>
          <w:trHeight w:val="1166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Назва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грунту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Фізико-механічні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характеристики грунту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FCE"/>
            <w:textDirection w:val="btLr"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Нусучаздатністьпалі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за формулою Н.2.2  ДБН, кН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FCE"/>
            <w:textDirection w:val="btLr"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Нусучаздатністьпалі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за таблицею Н.2.2  ДБН, без </w:t>
            </w: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врахування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+30% для </w:t>
            </w: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щільнихпісків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, кН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FCE"/>
            <w:textDirection w:val="btLr"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Нусучаздатністьпалі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за таблицею Н.2.2  ДБН, </w:t>
            </w: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з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врахуванням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+30% для </w:t>
            </w: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щільнихпісків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, кН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FCE"/>
            <w:textDirection w:val="btLr"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Нусучаздатністьпалі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 xml:space="preserve"> по </w:t>
            </w:r>
            <w:proofErr w:type="spellStart"/>
            <w:r w:rsidRPr="00D55F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Plaxis</w:t>
            </w:r>
            <w:proofErr w:type="spellEnd"/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, кН</w:t>
            </w:r>
          </w:p>
        </w:tc>
      </w:tr>
      <w:tr w:rsidR="00597D2F" w:rsidRPr="006F4307" w:rsidTr="00597D2F">
        <w:trPr>
          <w:trHeight w:val="22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е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с, кПа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φ, °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Cs/>
                <w:color w:val="006100"/>
                <w:sz w:val="18"/>
                <w:szCs w:val="18"/>
                <w:lang w:val="ru-RU" w:eastAsia="ru-RU"/>
              </w:rPr>
              <w:t>Е, МПа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6100"/>
                <w:sz w:val="18"/>
                <w:szCs w:val="18"/>
                <w:lang w:val="ru-RU" w:eastAsia="ru-RU"/>
              </w:rPr>
            </w:pP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  <w:t>Крупніпіски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0.45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1498.3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1736.7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1909.8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1740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1463.1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1736.7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1736.7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1393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1103.3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1405.5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1405.5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1095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  <w:t>Піскисередньоїкрупності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1476.3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1736.7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1909.8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1651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1299.7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1590.9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1590.9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1282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868.3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1192.5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1192.5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989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  <w:t>Мілкіпіски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1313.9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1404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1526.6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1503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925.9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1049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1171.6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1182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571.9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743.3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743.3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833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355.7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577.7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577.7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556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  <w:proofErr w:type="spellStart"/>
            <w:r w:rsidRPr="00D55F36"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  <w:t>Пилуватіпіски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1014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995.3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1301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761.8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773.8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862.5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968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510.7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533.8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533.8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665</w:t>
            </w:r>
          </w:p>
        </w:tc>
      </w:tr>
      <w:tr w:rsidR="00597D2F" w:rsidRPr="006F4307" w:rsidTr="00241E3A">
        <w:trPr>
          <w:trHeight w:val="30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100"/>
                <w:sz w:val="18"/>
                <w:szCs w:val="18"/>
                <w:lang w:val="ru-RU"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0.75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339.3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443.7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443.7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2F" w:rsidRPr="00D55F36" w:rsidRDefault="00597D2F" w:rsidP="0024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55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481</w:t>
            </w:r>
          </w:p>
        </w:tc>
      </w:tr>
    </w:tbl>
    <w:p w:rsidR="00D55F36" w:rsidRDefault="00D55F36" w:rsidP="008713C9">
      <w:pPr>
        <w:tabs>
          <w:tab w:val="left" w:pos="284"/>
          <w:tab w:val="left" w:pos="567"/>
          <w:tab w:val="left" w:pos="709"/>
          <w:tab w:val="left" w:pos="9214"/>
          <w:tab w:val="left" w:pos="9498"/>
          <w:tab w:val="left" w:pos="9638"/>
        </w:tabs>
        <w:spacing w:before="120"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несучої здатності за нормами опір під нижнім кінцем паль у піщаних ґрунтах обчислювався за формулою (Н.3.2) з рахуванням кута внутрішнього тертя та питомої ваги ґрунту, а опір по бічній поверхні або та таблицею Н.2.2, або за формулою (Н.2.2) (як функція характеристик міцності). Оскільки характеристики міцності залежать від коефіцієнта пористості, то несуча </w:t>
      </w:r>
      <w:r>
        <w:rPr>
          <w:rFonts w:ascii="Times New Roman" w:hAnsi="Times New Roman" w:cs="Times New Roman"/>
        </w:rPr>
        <w:lastRenderedPageBreak/>
        <w:t xml:space="preserve">здатність, визначена за методиками норм, вже має непряму залежність від щільності ґрунтів. При використанні опору по бічній поверхні, визначеного за формулою (Н.2.2), ця залежність якісно аналогічна залежності, яка має місце при </w:t>
      </w:r>
      <w:proofErr w:type="spellStart"/>
      <w:r>
        <w:rPr>
          <w:rFonts w:ascii="Times New Roman" w:hAnsi="Times New Roman" w:cs="Times New Roman"/>
          <w:lang w:val="ru-RU"/>
        </w:rPr>
        <w:t>чисельномумоделюванні</w:t>
      </w:r>
      <w:proofErr w:type="spellEnd"/>
      <w:r>
        <w:rPr>
          <w:rFonts w:ascii="Times New Roman" w:hAnsi="Times New Roman" w:cs="Times New Roman"/>
          <w:lang w:val="ru-RU"/>
        </w:rPr>
        <w:t xml:space="preserve">. При </w:t>
      </w:r>
      <w:r>
        <w:rPr>
          <w:rFonts w:ascii="Times New Roman" w:hAnsi="Times New Roman" w:cs="Times New Roman"/>
        </w:rPr>
        <w:t>використанні опору по бічній поверхні, визначеного за таблицею Н.2.2, ця залежність значно менша, оскільки обумовлена лише опором під нижнім кінцем палі.</w:t>
      </w:r>
    </w:p>
    <w:p w:rsidR="00D55F36" w:rsidRDefault="00D55F36" w:rsidP="00D55F36">
      <w:pPr>
        <w:tabs>
          <w:tab w:val="left" w:pos="284"/>
          <w:tab w:val="left" w:pos="567"/>
          <w:tab w:val="left" w:pos="709"/>
          <w:tab w:val="left" w:pos="9214"/>
          <w:tab w:val="left" w:pos="9498"/>
          <w:tab w:val="left" w:pos="9638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Недоліком використання формули (Н.2.2) для визначення опору по бічній поверхні бурових паль є те, що загальна несуча здатність виявляється заниженою (вона менша за несучу здатність, визначену за допомогою таблиці Н.2.2, яка в свою чергу переважно нижча за результати польових досліджень, що показане на рис. 1).</w:t>
      </w:r>
    </w:p>
    <w:p w:rsidR="00D55F36" w:rsidRDefault="00D55F36" w:rsidP="00D55F36">
      <w:pPr>
        <w:tabs>
          <w:tab w:val="left" w:pos="284"/>
          <w:tab w:val="left" w:pos="567"/>
          <w:tab w:val="left" w:pos="709"/>
          <w:tab w:val="left" w:pos="9214"/>
          <w:tab w:val="left" w:pos="9498"/>
          <w:tab w:val="left" w:pos="9638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Отже, доцільно використовувати для визначення несучої здатності бурових паль таблицю, аналогічну таблиці Н.2.2, але з врахуванням впливу коефіцієнта пористості.</w:t>
      </w:r>
    </w:p>
    <w:p w:rsidR="00D55F36" w:rsidRDefault="00D55F36" w:rsidP="00D55F36">
      <w:pPr>
        <w:pStyle w:val="OCSi"/>
        <w:spacing w:after="0" w:line="240" w:lineRule="auto"/>
        <w:ind w:firstLine="426"/>
        <w:jc w:val="both"/>
        <w:rPr>
          <w:b w:val="0"/>
        </w:rPr>
      </w:pPr>
      <w:r w:rsidRPr="00B47EF9">
        <w:rPr>
          <w:b w:val="0"/>
        </w:rPr>
        <w:t xml:space="preserve">Для </w:t>
      </w:r>
      <w:r>
        <w:rPr>
          <w:b w:val="0"/>
        </w:rPr>
        <w:t xml:space="preserve">подальшого аналізу впливу коефіцієнту пористості результати моделювання оброблялись таким чином: </w:t>
      </w:r>
    </w:p>
    <w:p w:rsidR="00D55F36" w:rsidRDefault="00D55F36" w:rsidP="00D55F36">
      <w:pPr>
        <w:pStyle w:val="OCSi"/>
        <w:numPr>
          <w:ilvl w:val="0"/>
          <w:numId w:val="2"/>
        </w:numPr>
        <w:spacing w:after="0" w:line="240" w:lineRule="auto"/>
        <w:ind w:left="0" w:firstLine="284"/>
        <w:jc w:val="both"/>
        <w:rPr>
          <w:b w:val="0"/>
          <w:lang w:val="ru-RU"/>
        </w:rPr>
      </w:pPr>
      <w:r>
        <w:rPr>
          <w:b w:val="0"/>
        </w:rPr>
        <w:t xml:space="preserve">визначалась </w:t>
      </w:r>
      <w:proofErr w:type="spellStart"/>
      <w:r>
        <w:rPr>
          <w:b w:val="0"/>
          <w:lang w:val="ru-RU"/>
        </w:rPr>
        <w:t>частканавантаження</w:t>
      </w:r>
      <w:proofErr w:type="spellEnd"/>
      <w:r>
        <w:rPr>
          <w:b w:val="0"/>
          <w:lang w:val="ru-RU"/>
        </w:rPr>
        <w:t xml:space="preserve">, яку </w:t>
      </w:r>
      <w:proofErr w:type="spellStart"/>
      <w:r>
        <w:rPr>
          <w:b w:val="0"/>
          <w:lang w:val="ru-RU"/>
        </w:rPr>
        <w:t>сприймає</w:t>
      </w:r>
      <w:proofErr w:type="spellEnd"/>
      <w:r>
        <w:rPr>
          <w:b w:val="0"/>
          <w:lang w:val="ru-RU"/>
        </w:rPr>
        <w:t xml:space="preserve"> паля </w:t>
      </w:r>
      <w:proofErr w:type="spellStart"/>
      <w:r>
        <w:rPr>
          <w:b w:val="0"/>
          <w:lang w:val="ru-RU"/>
        </w:rPr>
        <w:t>нижнімкінцем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і</w:t>
      </w:r>
      <w:proofErr w:type="spellEnd"/>
      <w:r>
        <w:rPr>
          <w:b w:val="0"/>
          <w:lang w:val="ru-RU"/>
        </w:rPr>
        <w:t xml:space="preserve"> боковою </w:t>
      </w:r>
      <w:proofErr w:type="spellStart"/>
      <w:r>
        <w:rPr>
          <w:b w:val="0"/>
          <w:lang w:val="ru-RU"/>
        </w:rPr>
        <w:t>поверхнею</w:t>
      </w:r>
      <w:proofErr w:type="spellEnd"/>
      <w:r>
        <w:rPr>
          <w:b w:val="0"/>
          <w:lang w:val="ru-RU"/>
        </w:rPr>
        <w:t xml:space="preserve"> (</w:t>
      </w:r>
      <w:proofErr w:type="spellStart"/>
      <w:r>
        <w:rPr>
          <w:b w:val="0"/>
          <w:lang w:val="ru-RU"/>
        </w:rPr>
        <w:t>частканижньогокінцяприймалась</w:t>
      </w:r>
      <w:proofErr w:type="spellEnd"/>
      <w:r>
        <w:rPr>
          <w:b w:val="0"/>
          <w:lang w:val="ru-RU"/>
        </w:rPr>
        <w:t xml:space="preserve"> такою ж, як при </w:t>
      </w:r>
      <w:proofErr w:type="spellStart"/>
      <w:r>
        <w:rPr>
          <w:b w:val="0"/>
          <w:lang w:val="ru-RU"/>
        </w:rPr>
        <w:t>розрахунках</w:t>
      </w:r>
      <w:proofErr w:type="spellEnd"/>
      <w:r>
        <w:rPr>
          <w:b w:val="0"/>
          <w:lang w:val="ru-RU"/>
        </w:rPr>
        <w:t xml:space="preserve"> за нормами);</w:t>
      </w:r>
    </w:p>
    <w:p w:rsidR="00D55F36" w:rsidRDefault="00D55F36" w:rsidP="00D55F36">
      <w:pPr>
        <w:pStyle w:val="OCSi"/>
        <w:numPr>
          <w:ilvl w:val="0"/>
          <w:numId w:val="2"/>
        </w:numPr>
        <w:spacing w:after="0" w:line="240" w:lineRule="auto"/>
        <w:ind w:left="0" w:firstLine="284"/>
        <w:jc w:val="both"/>
        <w:rPr>
          <w:b w:val="0"/>
          <w:lang w:val="ru-RU"/>
        </w:rPr>
      </w:pPr>
      <w:proofErr w:type="spellStart"/>
      <w:r>
        <w:rPr>
          <w:b w:val="0"/>
          <w:lang w:val="ru-RU"/>
        </w:rPr>
        <w:t>длявизначення</w:t>
      </w:r>
      <w:proofErr w:type="spellEnd"/>
      <w:r>
        <w:rPr>
          <w:b w:val="0"/>
          <w:lang w:val="ru-RU"/>
        </w:rPr>
        <w:t xml:space="preserve"> величин </w:t>
      </w:r>
      <w:proofErr w:type="spellStart"/>
      <w:r>
        <w:rPr>
          <w:b w:val="0"/>
          <w:lang w:val="ru-RU"/>
        </w:rPr>
        <w:t>питомого</w:t>
      </w:r>
      <w:proofErr w:type="spellEnd"/>
      <w:r>
        <w:rPr>
          <w:b w:val="0"/>
          <w:lang w:val="ru-RU"/>
        </w:rPr>
        <w:t xml:space="preserve"> опору по </w:t>
      </w:r>
      <w:proofErr w:type="spellStart"/>
      <w:r>
        <w:rPr>
          <w:b w:val="0"/>
          <w:lang w:val="ru-RU"/>
        </w:rPr>
        <w:t>бічнійповерхні</w:t>
      </w:r>
      <w:proofErr w:type="spellEnd"/>
      <w:r>
        <w:rPr>
          <w:b w:val="0"/>
          <w:lang w:val="ru-RU"/>
        </w:rPr>
        <w:t xml:space="preserve"> для </w:t>
      </w:r>
      <w:proofErr w:type="spellStart"/>
      <w:r>
        <w:rPr>
          <w:b w:val="0"/>
          <w:lang w:val="ru-RU"/>
        </w:rPr>
        <w:t>різнихглибин</w:t>
      </w:r>
      <w:proofErr w:type="spellEnd"/>
      <w:r>
        <w:rPr>
          <w:b w:val="0"/>
          <w:lang w:val="ru-RU"/>
        </w:rPr>
        <w:t xml:space="preserve"> по </w:t>
      </w:r>
      <w:proofErr w:type="spellStart"/>
      <w:r>
        <w:rPr>
          <w:b w:val="0"/>
          <w:lang w:val="ru-RU"/>
        </w:rPr>
        <w:t>довжиніпаліприймаласьзакономірність</w:t>
      </w:r>
      <w:proofErr w:type="spellEnd"/>
      <w:r>
        <w:rPr>
          <w:b w:val="0"/>
          <w:lang w:val="ru-RU"/>
        </w:rPr>
        <w:t xml:space="preserve">, </w:t>
      </w:r>
      <w:proofErr w:type="spellStart"/>
      <w:r>
        <w:rPr>
          <w:b w:val="0"/>
          <w:lang w:val="ru-RU"/>
        </w:rPr>
        <w:t>прийнята</w:t>
      </w:r>
      <w:proofErr w:type="spellEnd"/>
      <w:r>
        <w:rPr>
          <w:b w:val="0"/>
          <w:lang w:val="ru-RU"/>
        </w:rPr>
        <w:t xml:space="preserve"> в </w:t>
      </w:r>
      <w:proofErr w:type="spellStart"/>
      <w:r>
        <w:rPr>
          <w:b w:val="0"/>
          <w:lang w:val="ru-RU"/>
        </w:rPr>
        <w:t>таблиці</w:t>
      </w:r>
      <w:proofErr w:type="spellEnd"/>
      <w:r>
        <w:rPr>
          <w:b w:val="0"/>
          <w:lang w:val="ru-RU"/>
        </w:rPr>
        <w:t xml:space="preserve"> Н.2.2 </w:t>
      </w:r>
      <w:r w:rsidRPr="00B47EF9">
        <w:rPr>
          <w:b w:val="0"/>
          <w:lang w:val="ru-RU"/>
        </w:rPr>
        <w:t>[1]</w:t>
      </w:r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з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врахуваннямпідвищуючихкоефіцієнтів</w:t>
      </w:r>
      <w:proofErr w:type="spellEnd"/>
      <w:r>
        <w:rPr>
          <w:b w:val="0"/>
          <w:lang w:val="ru-RU"/>
        </w:rPr>
        <w:t xml:space="preserve"> для </w:t>
      </w:r>
      <w:proofErr w:type="spellStart"/>
      <w:r>
        <w:rPr>
          <w:b w:val="0"/>
          <w:lang w:val="ru-RU"/>
        </w:rPr>
        <w:t>щільнихпісків</w:t>
      </w:r>
      <w:proofErr w:type="spellEnd"/>
      <w:r>
        <w:rPr>
          <w:b w:val="0"/>
          <w:lang w:val="ru-RU"/>
        </w:rPr>
        <w:t xml:space="preserve">. </w:t>
      </w:r>
    </w:p>
    <w:p w:rsidR="00D55F36" w:rsidRPr="004A06C5" w:rsidRDefault="00D55F36" w:rsidP="00D55F36">
      <w:pPr>
        <w:pStyle w:val="OCSi"/>
        <w:spacing w:after="0" w:line="240" w:lineRule="auto"/>
        <w:ind w:firstLine="567"/>
        <w:jc w:val="both"/>
        <w:rPr>
          <w:b w:val="0"/>
        </w:rPr>
      </w:pPr>
      <w:r>
        <w:rPr>
          <w:b w:val="0"/>
          <w:lang w:val="ru-RU"/>
        </w:rPr>
        <w:t xml:space="preserve">В </w:t>
      </w:r>
      <w:proofErr w:type="spellStart"/>
      <w:r>
        <w:rPr>
          <w:b w:val="0"/>
          <w:lang w:val="ru-RU"/>
        </w:rPr>
        <w:t>результаті</w:t>
      </w:r>
      <w:proofErr w:type="spellEnd"/>
      <w:r>
        <w:rPr>
          <w:b w:val="0"/>
          <w:lang w:val="ru-RU"/>
        </w:rPr>
        <w:t xml:space="preserve"> одержана </w:t>
      </w:r>
      <w:proofErr w:type="spellStart"/>
      <w:r>
        <w:rPr>
          <w:b w:val="0"/>
          <w:lang w:val="ru-RU"/>
        </w:rPr>
        <w:t>таблицязначеньпитомого</w:t>
      </w:r>
      <w:proofErr w:type="spellEnd"/>
      <w:r>
        <w:rPr>
          <w:b w:val="0"/>
          <w:lang w:val="ru-RU"/>
        </w:rPr>
        <w:t xml:space="preserve"> опору по </w:t>
      </w:r>
      <w:proofErr w:type="spellStart"/>
      <w:r>
        <w:rPr>
          <w:b w:val="0"/>
          <w:lang w:val="ru-RU"/>
        </w:rPr>
        <w:t>бічнійповерхніпалі</w:t>
      </w:r>
      <w:proofErr w:type="spellEnd"/>
      <w:r>
        <w:rPr>
          <w:b w:val="0"/>
          <w:lang w:val="ru-RU"/>
        </w:rPr>
        <w:t xml:space="preserve">, </w:t>
      </w:r>
      <w:proofErr w:type="spellStart"/>
      <w:r>
        <w:rPr>
          <w:b w:val="0"/>
          <w:lang w:val="ru-RU"/>
        </w:rPr>
        <w:t>аналогічнатаблиці</w:t>
      </w:r>
      <w:proofErr w:type="spellEnd"/>
      <w:r>
        <w:rPr>
          <w:b w:val="0"/>
          <w:lang w:val="ru-RU"/>
        </w:rPr>
        <w:t xml:space="preserve"> Н.2.2, </w:t>
      </w:r>
      <w:proofErr w:type="spellStart"/>
      <w:r>
        <w:rPr>
          <w:b w:val="0"/>
          <w:lang w:val="ru-RU"/>
        </w:rPr>
        <w:t>але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з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введеннямдодатковоговхідного</w:t>
      </w:r>
      <w:proofErr w:type="spellEnd"/>
      <w:r>
        <w:rPr>
          <w:b w:val="0"/>
          <w:lang w:val="ru-RU"/>
        </w:rPr>
        <w:t xml:space="preserve"> параметра у </w:t>
      </w:r>
      <w:proofErr w:type="spellStart"/>
      <w:r>
        <w:rPr>
          <w:b w:val="0"/>
          <w:lang w:val="ru-RU"/>
        </w:rPr>
        <w:t>виглядікоефіцієнтупористості</w:t>
      </w:r>
      <w:proofErr w:type="spellEnd"/>
      <w:r>
        <w:rPr>
          <w:b w:val="0"/>
          <w:lang w:val="ru-RU"/>
        </w:rPr>
        <w:t xml:space="preserve">. </w:t>
      </w:r>
      <w:proofErr w:type="spellStart"/>
      <w:r>
        <w:rPr>
          <w:b w:val="0"/>
          <w:lang w:val="ru-RU"/>
        </w:rPr>
        <w:t>Таблицяскладена</w:t>
      </w:r>
      <w:proofErr w:type="spellEnd"/>
      <w:r>
        <w:rPr>
          <w:b w:val="0"/>
          <w:lang w:val="ru-RU"/>
        </w:rPr>
        <w:t xml:space="preserve"> для паль </w:t>
      </w:r>
      <w:proofErr w:type="spellStart"/>
      <w:r>
        <w:rPr>
          <w:b w:val="0"/>
          <w:lang w:val="ru-RU"/>
        </w:rPr>
        <w:t>довжиною</w:t>
      </w:r>
      <w:proofErr w:type="spellEnd"/>
      <w:r>
        <w:rPr>
          <w:b w:val="0"/>
          <w:lang w:val="ru-RU"/>
        </w:rPr>
        <w:t xml:space="preserve"> до 10 м. </w:t>
      </w:r>
      <w:proofErr w:type="spellStart"/>
      <w:r>
        <w:rPr>
          <w:b w:val="0"/>
          <w:lang w:val="ru-RU"/>
        </w:rPr>
        <w:t>Опір</w:t>
      </w:r>
      <w:proofErr w:type="spellEnd"/>
      <w:r>
        <w:rPr>
          <w:b w:val="0"/>
          <w:lang w:val="ru-RU"/>
        </w:rPr>
        <w:t xml:space="preserve"> по </w:t>
      </w:r>
      <w:proofErr w:type="spellStart"/>
      <w:r>
        <w:rPr>
          <w:b w:val="0"/>
          <w:lang w:val="ru-RU"/>
        </w:rPr>
        <w:t>бічнійповерхні</w:t>
      </w:r>
      <w:proofErr w:type="spellEnd"/>
      <w:r w:rsidRPr="003463A0">
        <w:rPr>
          <w:rFonts w:eastAsia="Times New Roman"/>
          <w:b w:val="0"/>
          <w:bCs/>
          <w:color w:val="000000"/>
          <w:lang w:eastAsia="ru-RU"/>
        </w:rPr>
        <w:t>визначений через відсоток відносно значень несучої здатності палі, отриманих за таблицею ДБН з врахуванням +30% для щільних пісків.</w:t>
      </w:r>
    </w:p>
    <w:p w:rsidR="008713C9" w:rsidRDefault="00D55F36" w:rsidP="008713C9">
      <w:pPr>
        <w:pStyle w:val="OCSi"/>
        <w:ind w:firstLine="567"/>
        <w:jc w:val="both"/>
        <w:rPr>
          <w:b w:val="0"/>
          <w:lang w:val="ru-RU"/>
        </w:rPr>
      </w:pPr>
      <w:r w:rsidRPr="004A06C5">
        <w:rPr>
          <w:b w:val="0"/>
        </w:rPr>
        <w:t>З використанням таблицівизначені значення несучої здатності паль для дослідних майданчиків, для яких</w:t>
      </w:r>
      <w:r>
        <w:rPr>
          <w:b w:val="0"/>
        </w:rPr>
        <w:t xml:space="preserve"> випробування доведені до деформації, близької до 4 см, довжина палі близька до 10 м і паля повніст</w:t>
      </w:r>
      <w:r w:rsidR="008713C9">
        <w:rPr>
          <w:b w:val="0"/>
        </w:rPr>
        <w:t xml:space="preserve">ю розміщена у піщаному ґрунті. </w:t>
      </w:r>
      <w:r>
        <w:rPr>
          <w:b w:val="0"/>
        </w:rPr>
        <w:t xml:space="preserve">Опір під нижнім кінцем паль визначався за формулою (Н.3.2) </w:t>
      </w:r>
      <w:r w:rsidRPr="00B47EF9">
        <w:rPr>
          <w:b w:val="0"/>
          <w:lang w:val="ru-RU"/>
        </w:rPr>
        <w:t>[1]</w:t>
      </w:r>
      <w:r>
        <w:rPr>
          <w:b w:val="0"/>
          <w:lang w:val="ru-RU"/>
        </w:rPr>
        <w:t xml:space="preserve">. </w:t>
      </w:r>
      <w:proofErr w:type="spellStart"/>
      <w:r w:rsidR="008713C9">
        <w:rPr>
          <w:b w:val="0"/>
          <w:lang w:val="ru-RU"/>
        </w:rPr>
        <w:t>Результати</w:t>
      </w:r>
      <w:proofErr w:type="spellEnd"/>
      <w:r w:rsidR="008713C9">
        <w:rPr>
          <w:b w:val="0"/>
          <w:lang w:val="ru-RU"/>
        </w:rPr>
        <w:t xml:space="preserve"> показали </w:t>
      </w:r>
      <w:proofErr w:type="spellStart"/>
      <w:r w:rsidR="008713C9">
        <w:rPr>
          <w:b w:val="0"/>
          <w:lang w:val="ru-RU"/>
        </w:rPr>
        <w:t>кращувідповідністьдосліднимданим</w:t>
      </w:r>
      <w:proofErr w:type="spellEnd"/>
      <w:r w:rsidR="008713C9">
        <w:rPr>
          <w:b w:val="0"/>
          <w:lang w:val="ru-RU"/>
        </w:rPr>
        <w:t xml:space="preserve"> у </w:t>
      </w:r>
      <w:proofErr w:type="spellStart"/>
      <w:r w:rsidR="008713C9">
        <w:rPr>
          <w:b w:val="0"/>
          <w:lang w:val="ru-RU"/>
        </w:rPr>
        <w:t>порівнянні</w:t>
      </w:r>
      <w:proofErr w:type="spellEnd"/>
      <w:r w:rsidR="008713C9">
        <w:rPr>
          <w:b w:val="0"/>
          <w:lang w:val="ru-RU"/>
        </w:rPr>
        <w:t xml:space="preserve"> </w:t>
      </w:r>
      <w:proofErr w:type="spellStart"/>
      <w:r w:rsidR="008713C9">
        <w:rPr>
          <w:b w:val="0"/>
          <w:lang w:val="ru-RU"/>
        </w:rPr>
        <w:t>з</w:t>
      </w:r>
      <w:proofErr w:type="spellEnd"/>
      <w:r w:rsidR="008713C9">
        <w:rPr>
          <w:b w:val="0"/>
          <w:lang w:val="ru-RU"/>
        </w:rPr>
        <w:t xml:space="preserve"> методикою норм.</w:t>
      </w:r>
    </w:p>
    <w:p w:rsidR="001660EB" w:rsidRPr="00641DF2" w:rsidRDefault="001660EB" w:rsidP="00FB64A4">
      <w:pPr>
        <w:pStyle w:val="OCSi"/>
        <w:ind w:firstLine="284"/>
      </w:pPr>
      <w:r w:rsidRPr="00641DF2">
        <w:t>Висновки</w:t>
      </w:r>
    </w:p>
    <w:p w:rsidR="00FC1056" w:rsidRPr="00CC4D34" w:rsidRDefault="00DD01CB" w:rsidP="00FB64A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результаті проведеногоматематичного моделювання </w:t>
      </w:r>
      <w:r w:rsidRPr="00DD01CB">
        <w:rPr>
          <w:rFonts w:ascii="Times New Roman" w:hAnsi="Times New Roman" w:cs="Times New Roman"/>
        </w:rPr>
        <w:t xml:space="preserve">отримана таблиця значень питомого опору піщаних </w:t>
      </w:r>
      <w:r w:rsidR="008C00C1" w:rsidRPr="00DD01CB">
        <w:rPr>
          <w:rFonts w:ascii="Times New Roman" w:hAnsi="Times New Roman" w:cs="Times New Roman"/>
        </w:rPr>
        <w:t>ґрунтів</w:t>
      </w:r>
      <w:r w:rsidRPr="00DD01CB">
        <w:rPr>
          <w:rFonts w:ascii="Times New Roman" w:hAnsi="Times New Roman" w:cs="Times New Roman"/>
        </w:rPr>
        <w:t xml:space="preserve"> по боковій поверхні</w:t>
      </w:r>
      <w:r w:rsidR="00FC1056" w:rsidRPr="00CC4D34">
        <w:rPr>
          <w:rFonts w:ascii="Times New Roman" w:hAnsi="Times New Roman" w:cs="Times New Roman"/>
        </w:rPr>
        <w:t xml:space="preserve">бурових паль </w:t>
      </w:r>
      <w:r>
        <w:rPr>
          <w:rFonts w:ascii="Times New Roman" w:hAnsi="Times New Roman" w:cs="Times New Roman"/>
        </w:rPr>
        <w:t>з урахуванням</w:t>
      </w:r>
      <w:r w:rsidR="00FC1056" w:rsidRPr="00CC4D34">
        <w:rPr>
          <w:rFonts w:ascii="Times New Roman" w:hAnsi="Times New Roman" w:cs="Times New Roman"/>
        </w:rPr>
        <w:t xml:space="preserve"> коефіцієнта пористості </w:t>
      </w:r>
      <w:r w:rsidRPr="00CC4D34">
        <w:rPr>
          <w:rFonts w:ascii="Times New Roman" w:hAnsi="Times New Roman" w:cs="Times New Roman"/>
        </w:rPr>
        <w:t>ґрунтів</w:t>
      </w:r>
      <w:r>
        <w:rPr>
          <w:rFonts w:ascii="Times New Roman" w:hAnsi="Times New Roman" w:cs="Times New Roman"/>
        </w:rPr>
        <w:t xml:space="preserve"> для паль довжиною до 10 м</w:t>
      </w:r>
      <w:r w:rsidR="00FC1056" w:rsidRPr="00CC4D3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Використання таблиці дозволяє одержувати при проектуванні більш економічні рішення.</w:t>
      </w:r>
    </w:p>
    <w:p w:rsidR="00214141" w:rsidRPr="00641DF2" w:rsidRDefault="00214141" w:rsidP="00FB64A4">
      <w:pPr>
        <w:pStyle w:val="a6"/>
        <w:spacing w:after="120" w:line="240" w:lineRule="auto"/>
        <w:rPr>
          <w:rFonts w:ascii="Times New Roman" w:hAnsi="Times New Roman"/>
        </w:rPr>
      </w:pPr>
      <w:r w:rsidRPr="00641DF2">
        <w:rPr>
          <w:rFonts w:ascii="Times New Roman" w:hAnsi="Times New Roman"/>
        </w:rPr>
        <w:t>Список використаної літератури</w:t>
      </w:r>
    </w:p>
    <w:p w:rsidR="00FC1056" w:rsidRPr="00CC4D34" w:rsidRDefault="00FC1056" w:rsidP="00FB64A4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CC4D34">
        <w:rPr>
          <w:rFonts w:ascii="Times New Roman" w:hAnsi="Times New Roman" w:cs="Times New Roman"/>
        </w:rPr>
        <w:t xml:space="preserve">1. Основи та фундаменти будівель та споруд. Основні положення проектування: ДБН В.2.1-10-2009. Зміна 1 – [Чинні від 2011-07-01]. – К.: </w:t>
      </w:r>
      <w:proofErr w:type="spellStart"/>
      <w:r w:rsidRPr="00CC4D34">
        <w:rPr>
          <w:rFonts w:ascii="Times New Roman" w:hAnsi="Times New Roman" w:cs="Times New Roman"/>
        </w:rPr>
        <w:t>Мінрегіонбуд</w:t>
      </w:r>
      <w:proofErr w:type="spellEnd"/>
      <w:r w:rsidRPr="00CC4D34">
        <w:rPr>
          <w:rFonts w:ascii="Times New Roman" w:hAnsi="Times New Roman" w:cs="Times New Roman"/>
        </w:rPr>
        <w:t xml:space="preserve"> України, 2011 – 55 с. – (Державні будівельні норми України ).</w:t>
      </w:r>
    </w:p>
    <w:p w:rsidR="00707B2F" w:rsidRPr="00707B2F" w:rsidRDefault="00B56E58" w:rsidP="00D91CF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82EEB">
        <w:rPr>
          <w:rFonts w:ascii="Times New Roman" w:hAnsi="Times New Roman" w:cs="Times New Roman"/>
          <w:lang w:val="ru-RU"/>
        </w:rPr>
        <w:t>2</w:t>
      </w:r>
      <w:r w:rsidR="00FC1056" w:rsidRPr="00CC4D34">
        <w:rPr>
          <w:rFonts w:ascii="Times New Roman" w:hAnsi="Times New Roman" w:cs="Times New Roman"/>
        </w:rPr>
        <w:t xml:space="preserve">. </w:t>
      </w:r>
      <w:r w:rsidR="00707B2F" w:rsidRPr="00707B2F">
        <w:rPr>
          <w:rFonts w:ascii="Times New Roman" w:hAnsi="Times New Roman" w:cs="Times New Roman"/>
        </w:rPr>
        <w:t xml:space="preserve">Маєвська І. В., </w:t>
      </w:r>
      <w:proofErr w:type="spellStart"/>
      <w:r w:rsidR="00707B2F" w:rsidRPr="00707B2F">
        <w:rPr>
          <w:rFonts w:ascii="Times New Roman" w:hAnsi="Times New Roman" w:cs="Times New Roman"/>
        </w:rPr>
        <w:t>БлащукН</w:t>
      </w:r>
      <w:proofErr w:type="spellEnd"/>
      <w:r w:rsidR="00707B2F" w:rsidRPr="00707B2F">
        <w:rPr>
          <w:rFonts w:ascii="Times New Roman" w:hAnsi="Times New Roman" w:cs="Times New Roman"/>
        </w:rPr>
        <w:t xml:space="preserve"> .В.. </w:t>
      </w:r>
      <w:r w:rsidR="00707B2F">
        <w:rPr>
          <w:rFonts w:ascii="Times New Roman" w:hAnsi="Times New Roman" w:cs="Times New Roman"/>
        </w:rPr>
        <w:t>Романов С</w:t>
      </w:r>
      <w:r w:rsidR="00707B2F" w:rsidRPr="00707B2F">
        <w:rPr>
          <w:rFonts w:ascii="Times New Roman" w:hAnsi="Times New Roman" w:cs="Times New Roman"/>
        </w:rPr>
        <w:t>. В. Вдосконалення методики визначення несучої здатності бурових паль // „Будівельні конструкції”: Міжвідомчий науково-технічний збірник. – Вип. 83. – К.: НДІБК, 2016. – с. 616-625.</w:t>
      </w:r>
    </w:p>
    <w:p w:rsidR="00986FF9" w:rsidRPr="00427B5F" w:rsidRDefault="0022478A" w:rsidP="00FB64A4">
      <w:pPr>
        <w:pStyle w:val="OCS3"/>
        <w:spacing w:after="120"/>
        <w:rPr>
          <w:sz w:val="22"/>
        </w:rPr>
      </w:pPr>
      <w:r w:rsidRPr="0022478A">
        <w:rPr>
          <w:sz w:val="22"/>
        </w:rPr>
        <w:t>3. Грушевська А.В. Моделювання роботи бурової палі під навантаженням в різних ґрунтових умовах</w:t>
      </w:r>
      <w:r w:rsidR="00427B5F" w:rsidRPr="00427B5F">
        <w:rPr>
          <w:sz w:val="22"/>
        </w:rPr>
        <w:t>// Тези доповіді на XLVІ щорічній науково-технічній конференції Вінницького національного технічного університету, березень 2017 р., м. Вінниця</w:t>
      </w:r>
      <w:r w:rsidR="005262CE">
        <w:rPr>
          <w:sz w:val="22"/>
        </w:rPr>
        <w:t>,</w:t>
      </w:r>
      <w:r w:rsidR="005262CE" w:rsidRPr="005262CE">
        <w:rPr>
          <w:sz w:val="22"/>
        </w:rPr>
        <w:t>https://conferences.vntu.edu.ua/index.php/all-fbtegp/all-fbtegp-2017/paper/view/1850</w:t>
      </w:r>
      <w:r w:rsidR="00427B5F" w:rsidRPr="00427B5F">
        <w:rPr>
          <w:sz w:val="22"/>
        </w:rPr>
        <w:t xml:space="preserve"> (керівник Маєвська І.В.)</w:t>
      </w:r>
    </w:p>
    <w:p w:rsidR="001D1F43" w:rsidRPr="00641DF2" w:rsidRDefault="001D1F43" w:rsidP="001D1F43">
      <w:pPr>
        <w:pStyle w:val="OCS3"/>
        <w:spacing w:after="120"/>
      </w:pPr>
      <w:r w:rsidRPr="00026A0B">
        <w:rPr>
          <w:b/>
          <w:i/>
        </w:rPr>
        <w:t>Анастасія Віталіївна</w:t>
      </w:r>
      <w:r>
        <w:rPr>
          <w:b/>
          <w:i/>
        </w:rPr>
        <w:t xml:space="preserve"> Грушевська</w:t>
      </w:r>
      <w:r w:rsidRPr="00641DF2">
        <w:t xml:space="preserve">— </w:t>
      </w:r>
      <w:r w:rsidRPr="00026A0B">
        <w:t>магістрант гр.Б-16мі</w:t>
      </w:r>
      <w:r w:rsidRPr="00641DF2">
        <w:t>, факультет будівництва теплоенергетики та газопостачання, Вінницький нац</w:t>
      </w:r>
      <w:r>
        <w:t>іональний технічний університет;</w:t>
      </w:r>
    </w:p>
    <w:p w:rsidR="001D1F43" w:rsidRDefault="001D1F43" w:rsidP="001D1F43">
      <w:pPr>
        <w:pStyle w:val="OCS3"/>
        <w:spacing w:after="120"/>
      </w:pPr>
      <w:r>
        <w:t>Науковий керівник:</w:t>
      </w:r>
      <w:r w:rsidRPr="00C96A26">
        <w:rPr>
          <w:b/>
          <w:i/>
        </w:rPr>
        <w:t xml:space="preserve">Ірина Вікторівна </w:t>
      </w:r>
      <w:proofErr w:type="spellStart"/>
      <w:r w:rsidRPr="00C96A26">
        <w:rPr>
          <w:b/>
          <w:i/>
        </w:rPr>
        <w:t>Маєвська</w:t>
      </w:r>
      <w:r w:rsidRPr="00641DF2">
        <w:t>—</w:t>
      </w:r>
      <w:proofErr w:type="spellEnd"/>
      <w:r w:rsidRPr="00641DF2">
        <w:t xml:space="preserve"> </w:t>
      </w:r>
      <w:r w:rsidRPr="00C96A26">
        <w:rPr>
          <w:shd w:val="clear" w:color="auto" w:fill="FFFFFF"/>
        </w:rPr>
        <w:t>к</w:t>
      </w:r>
      <w:r>
        <w:rPr>
          <w:shd w:val="clear" w:color="auto" w:fill="FFFFFF"/>
        </w:rPr>
        <w:t>анд. техн. наук, доцент кафедри будівництва, міського господарства та архітектури</w:t>
      </w:r>
      <w:r w:rsidRPr="00641DF2">
        <w:t xml:space="preserve">, Вінницький національний технічний університет, м. Вінниця. </w:t>
      </w:r>
    </w:p>
    <w:p w:rsidR="001D1F43" w:rsidRPr="00641DF2" w:rsidRDefault="001D1F43" w:rsidP="001D1F43">
      <w:pPr>
        <w:pStyle w:val="OCS3"/>
        <w:spacing w:after="120"/>
      </w:pPr>
      <w:proofErr w:type="spellStart"/>
      <w:r w:rsidRPr="00FB64A4">
        <w:rPr>
          <w:b/>
          <w:i/>
        </w:rPr>
        <w:t>Anastasia</w:t>
      </w:r>
      <w:proofErr w:type="spellEnd"/>
      <w:r w:rsidRPr="00FB64A4">
        <w:rPr>
          <w:b/>
          <w:i/>
        </w:rPr>
        <w:t xml:space="preserve"> V. </w:t>
      </w:r>
      <w:proofErr w:type="spellStart"/>
      <w:r w:rsidRPr="00FB64A4">
        <w:rPr>
          <w:b/>
          <w:i/>
        </w:rPr>
        <w:t>Hrushevska</w:t>
      </w:r>
      <w:proofErr w:type="spellEnd"/>
      <w:r w:rsidRPr="00FB64A4">
        <w:t xml:space="preserve"> - </w:t>
      </w:r>
      <w:proofErr w:type="spellStart"/>
      <w:r w:rsidRPr="00FB64A4">
        <w:t>Master</w:t>
      </w:r>
      <w:proofErr w:type="spellEnd"/>
      <w:r w:rsidRPr="00FB64A4">
        <w:t xml:space="preserve"> hr.B-16mi, </w:t>
      </w:r>
      <w:proofErr w:type="spellStart"/>
      <w:r w:rsidRPr="00FB64A4">
        <w:t>Departmentofconstructionofthermalpowerandgas</w:t>
      </w:r>
      <w:proofErr w:type="spellEnd"/>
      <w:r w:rsidRPr="00FB64A4">
        <w:t xml:space="preserve">, </w:t>
      </w:r>
      <w:proofErr w:type="spellStart"/>
      <w:r w:rsidRPr="00FB64A4">
        <w:t>VinnytsiaNationalTechnicalUniversity</w:t>
      </w:r>
      <w:proofErr w:type="spellEnd"/>
      <w:r w:rsidRPr="00FB64A4">
        <w:t>;</w:t>
      </w:r>
    </w:p>
    <w:p w:rsidR="00986FF9" w:rsidRPr="00986FF9" w:rsidRDefault="001D1F43" w:rsidP="00597D2F">
      <w:pPr>
        <w:pStyle w:val="OCS3"/>
        <w:rPr>
          <w:sz w:val="22"/>
        </w:rPr>
      </w:pPr>
      <w:proofErr w:type="spellStart"/>
      <w:r w:rsidRPr="00C36B72">
        <w:t>Supervisor</w:t>
      </w:r>
      <w:r w:rsidRPr="00697CA2">
        <w:rPr>
          <w:b/>
        </w:rPr>
        <w:t>Irina</w:t>
      </w:r>
      <w:proofErr w:type="spellEnd"/>
      <w:r>
        <w:rPr>
          <w:b/>
        </w:rPr>
        <w:t xml:space="preserve"> V. </w:t>
      </w:r>
      <w:proofErr w:type="spellStart"/>
      <w:r w:rsidRPr="00697CA2">
        <w:rPr>
          <w:b/>
        </w:rPr>
        <w:t>Majewsk</w:t>
      </w:r>
      <w:r>
        <w:rPr>
          <w:b/>
        </w:rPr>
        <w:t>а</w:t>
      </w:r>
      <w:proofErr w:type="spellEnd"/>
      <w:r w:rsidRPr="00697CA2">
        <w:t xml:space="preserve"> - </w:t>
      </w:r>
      <w:proofErr w:type="spellStart"/>
      <w:r w:rsidRPr="00697CA2">
        <w:t>candidate</w:t>
      </w:r>
      <w:proofErr w:type="spellEnd"/>
      <w:r w:rsidRPr="00697CA2">
        <w:t xml:space="preserve">. </w:t>
      </w:r>
      <w:proofErr w:type="spellStart"/>
      <w:r w:rsidRPr="00697CA2">
        <w:t>Sc</w:t>
      </w:r>
      <w:proofErr w:type="spellEnd"/>
      <w:r w:rsidRPr="00697CA2">
        <w:t xml:space="preserve">., </w:t>
      </w:r>
      <w:proofErr w:type="spellStart"/>
      <w:r w:rsidRPr="00697CA2">
        <w:t>assistantprofessorof</w:t>
      </w:r>
      <w:proofErr w:type="spellEnd"/>
      <w:r>
        <w:rPr>
          <w:lang w:val="en-US"/>
        </w:rPr>
        <w:t>d</w:t>
      </w:r>
      <w:proofErr w:type="spellStart"/>
      <w:r>
        <w:t>epartmentofconstruction</w:t>
      </w:r>
      <w:proofErr w:type="spellEnd"/>
      <w:r>
        <w:t xml:space="preserve">, </w:t>
      </w:r>
      <w:proofErr w:type="spellStart"/>
      <w:r>
        <w:t>architectureandmunicipaleconomy</w:t>
      </w:r>
      <w:proofErr w:type="spellEnd"/>
      <w:r w:rsidRPr="00697CA2">
        <w:t xml:space="preserve">, </w:t>
      </w:r>
      <w:proofErr w:type="spellStart"/>
      <w:r w:rsidRPr="00697CA2">
        <w:t>VinnytsiaNationalTechnicalUniversity</w:t>
      </w:r>
      <w:proofErr w:type="spellEnd"/>
      <w:r w:rsidRPr="00697CA2">
        <w:t xml:space="preserve">. </w:t>
      </w:r>
      <w:proofErr w:type="spellStart"/>
      <w:r w:rsidRPr="00697CA2">
        <w:t>Vinnitsa</w:t>
      </w:r>
      <w:proofErr w:type="spellEnd"/>
      <w:r w:rsidRPr="00697CA2">
        <w:t>.</w:t>
      </w:r>
    </w:p>
    <w:sectPr w:rsidR="00986FF9" w:rsidRPr="00986FF9" w:rsidSect="00597D2F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05640"/>
    <w:multiLevelType w:val="hybridMultilevel"/>
    <w:tmpl w:val="B3EAC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144F4"/>
    <w:multiLevelType w:val="hybridMultilevel"/>
    <w:tmpl w:val="1AA45778"/>
    <w:lvl w:ilvl="0" w:tplc="779E7814">
      <w:start w:val="17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gutterAtTop/>
  <w:proofState w:spelling="clean" w:grammar="clean"/>
  <w:defaultTabStop w:val="708"/>
  <w:characterSpacingControl w:val="doNotCompress"/>
  <w:compat/>
  <w:rsids>
    <w:rsidRoot w:val="004E2AF0"/>
    <w:rsid w:val="00026A0B"/>
    <w:rsid w:val="00065D8C"/>
    <w:rsid w:val="0007383D"/>
    <w:rsid w:val="00092EC9"/>
    <w:rsid w:val="001660EB"/>
    <w:rsid w:val="00167D5D"/>
    <w:rsid w:val="001D1F43"/>
    <w:rsid w:val="001E3A36"/>
    <w:rsid w:val="00202387"/>
    <w:rsid w:val="00214141"/>
    <w:rsid w:val="0022478A"/>
    <w:rsid w:val="00236720"/>
    <w:rsid w:val="002461AA"/>
    <w:rsid w:val="00282EEB"/>
    <w:rsid w:val="002A34A8"/>
    <w:rsid w:val="002A3601"/>
    <w:rsid w:val="002A793D"/>
    <w:rsid w:val="0030282C"/>
    <w:rsid w:val="003D455E"/>
    <w:rsid w:val="00427B5F"/>
    <w:rsid w:val="00470A3C"/>
    <w:rsid w:val="004719B1"/>
    <w:rsid w:val="004E2AF0"/>
    <w:rsid w:val="0050368B"/>
    <w:rsid w:val="005262CE"/>
    <w:rsid w:val="00571F6E"/>
    <w:rsid w:val="00597D2F"/>
    <w:rsid w:val="005D53B1"/>
    <w:rsid w:val="00627924"/>
    <w:rsid w:val="00653ED6"/>
    <w:rsid w:val="00693062"/>
    <w:rsid w:val="006D42DA"/>
    <w:rsid w:val="00707B2F"/>
    <w:rsid w:val="00741B7A"/>
    <w:rsid w:val="00750CAB"/>
    <w:rsid w:val="0076376F"/>
    <w:rsid w:val="007A3EAD"/>
    <w:rsid w:val="007A6C10"/>
    <w:rsid w:val="007D1101"/>
    <w:rsid w:val="00812E09"/>
    <w:rsid w:val="008212C7"/>
    <w:rsid w:val="008713C9"/>
    <w:rsid w:val="00874131"/>
    <w:rsid w:val="00880BC4"/>
    <w:rsid w:val="008827C1"/>
    <w:rsid w:val="008C00C1"/>
    <w:rsid w:val="00910484"/>
    <w:rsid w:val="009727EB"/>
    <w:rsid w:val="009814A1"/>
    <w:rsid w:val="00985A67"/>
    <w:rsid w:val="00986FF9"/>
    <w:rsid w:val="009E7438"/>
    <w:rsid w:val="00A2401E"/>
    <w:rsid w:val="00A354CE"/>
    <w:rsid w:val="00B37707"/>
    <w:rsid w:val="00B47EF9"/>
    <w:rsid w:val="00B56E58"/>
    <w:rsid w:val="00BB6415"/>
    <w:rsid w:val="00C01AEF"/>
    <w:rsid w:val="00C1794D"/>
    <w:rsid w:val="00C20665"/>
    <w:rsid w:val="00C22E12"/>
    <w:rsid w:val="00CB59EB"/>
    <w:rsid w:val="00CC4D34"/>
    <w:rsid w:val="00CC7D4A"/>
    <w:rsid w:val="00CF6F12"/>
    <w:rsid w:val="00D0388B"/>
    <w:rsid w:val="00D55F36"/>
    <w:rsid w:val="00D90E54"/>
    <w:rsid w:val="00D91CF2"/>
    <w:rsid w:val="00DA0FF9"/>
    <w:rsid w:val="00DD01CB"/>
    <w:rsid w:val="00E13B73"/>
    <w:rsid w:val="00F3480C"/>
    <w:rsid w:val="00F569C2"/>
    <w:rsid w:val="00F65CB9"/>
    <w:rsid w:val="00F663F6"/>
    <w:rsid w:val="00F77ABE"/>
    <w:rsid w:val="00FB64A4"/>
    <w:rsid w:val="00FC1056"/>
    <w:rsid w:val="00FE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7A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85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68B"/>
    <w:pPr>
      <w:ind w:left="720"/>
      <w:contextualSpacing/>
    </w:pPr>
  </w:style>
  <w:style w:type="character" w:customStyle="1" w:styleId="apple-converted-space">
    <w:name w:val="apple-converted-space"/>
    <w:basedOn w:val="a0"/>
    <w:rsid w:val="009814A1"/>
  </w:style>
  <w:style w:type="paragraph" w:styleId="a4">
    <w:name w:val="Balloon Text"/>
    <w:basedOn w:val="a"/>
    <w:link w:val="a5"/>
    <w:uiPriority w:val="99"/>
    <w:semiHidden/>
    <w:unhideWhenUsed/>
    <w:rsid w:val="00DA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FF9"/>
    <w:rPr>
      <w:rFonts w:ascii="Tahoma" w:hAnsi="Tahoma" w:cs="Tahoma"/>
      <w:sz w:val="16"/>
      <w:szCs w:val="16"/>
      <w:lang w:val="uk-UA"/>
    </w:rPr>
  </w:style>
  <w:style w:type="paragraph" w:customStyle="1" w:styleId="OCS">
    <w:name w:val="OCS_УДК"/>
    <w:basedOn w:val="a"/>
    <w:qFormat/>
    <w:rsid w:val="00CC4D34"/>
    <w:pPr>
      <w:spacing w:after="0" w:line="240" w:lineRule="atLeast"/>
      <w:jc w:val="both"/>
    </w:pPr>
    <w:rPr>
      <w:rFonts w:ascii="Times New Roman" w:eastAsia="Calibri" w:hAnsi="Times New Roman" w:cs="Times New Roman"/>
      <w:caps/>
    </w:rPr>
  </w:style>
  <w:style w:type="paragraph" w:customStyle="1" w:styleId="OCSukr">
    <w:name w:val="OCS_Ім’я_ukr"/>
    <w:basedOn w:val="a"/>
    <w:qFormat/>
    <w:rsid w:val="00CC4D34"/>
    <w:pPr>
      <w:spacing w:after="0" w:line="240" w:lineRule="auto"/>
      <w:jc w:val="right"/>
    </w:pPr>
    <w:rPr>
      <w:rFonts w:ascii="Times New Roman" w:eastAsia="Calibri" w:hAnsi="Times New Roman" w:cs="Times New Roman"/>
      <w:b/>
      <w:sz w:val="28"/>
      <w:szCs w:val="32"/>
    </w:rPr>
  </w:style>
  <w:style w:type="paragraph" w:customStyle="1" w:styleId="OCS0">
    <w:name w:val="OCS_Місце роб_укр"/>
    <w:basedOn w:val="a"/>
    <w:qFormat/>
    <w:rsid w:val="00CC4D34"/>
    <w:pPr>
      <w:spacing w:after="0" w:line="280" w:lineRule="atLeast"/>
      <w:jc w:val="center"/>
    </w:pPr>
    <w:rPr>
      <w:rFonts w:ascii="Times New Roman" w:eastAsia="Calibri" w:hAnsi="Times New Roman" w:cs="Times New Roman"/>
    </w:rPr>
  </w:style>
  <w:style w:type="paragraph" w:customStyle="1" w:styleId="OCSeng">
    <w:name w:val="OCS_Анотація (укр/eng)"/>
    <w:basedOn w:val="a"/>
    <w:qFormat/>
    <w:rsid w:val="00CC4D34"/>
    <w:pPr>
      <w:widowControl w:val="0"/>
      <w:tabs>
        <w:tab w:val="left" w:pos="8749"/>
      </w:tabs>
      <w:spacing w:after="0" w:line="240" w:lineRule="auto"/>
      <w:ind w:firstLine="284"/>
      <w:jc w:val="both"/>
    </w:pPr>
    <w:rPr>
      <w:rFonts w:ascii="Times New Roman" w:eastAsia="Calibri" w:hAnsi="Times New Roman" w:cs="Arial"/>
      <w:i/>
      <w:sz w:val="20"/>
      <w:szCs w:val="19"/>
    </w:rPr>
  </w:style>
  <w:style w:type="paragraph" w:customStyle="1" w:styleId="OCSi">
    <w:name w:val="OCS_Пiдзагол"/>
    <w:basedOn w:val="a"/>
    <w:qFormat/>
    <w:rsid w:val="00CC4D34"/>
    <w:pPr>
      <w:spacing w:after="120" w:line="260" w:lineRule="atLeast"/>
      <w:jc w:val="center"/>
    </w:pPr>
    <w:rPr>
      <w:rFonts w:ascii="Times New Roman" w:eastAsia="Calibri" w:hAnsi="Times New Roman" w:cs="Times New Roman"/>
      <w:b/>
    </w:rPr>
  </w:style>
  <w:style w:type="paragraph" w:customStyle="1" w:styleId="OCSeng0">
    <w:name w:val="OCS_Кл_слова (укр/eng)"/>
    <w:basedOn w:val="a"/>
    <w:qFormat/>
    <w:rsid w:val="00CC4D34"/>
    <w:pPr>
      <w:widowControl w:val="0"/>
      <w:spacing w:after="0" w:line="240" w:lineRule="auto"/>
      <w:ind w:firstLine="284"/>
      <w:jc w:val="both"/>
    </w:pPr>
    <w:rPr>
      <w:rFonts w:ascii="Times New Roman" w:eastAsia="Calibri" w:hAnsi="Times New Roman" w:cs="Times New Roman"/>
      <w:color w:val="000000"/>
      <w:sz w:val="20"/>
      <w:szCs w:val="20"/>
      <w:lang w:val="en-US" w:eastAsia="ru-RU"/>
    </w:rPr>
  </w:style>
  <w:style w:type="character" w:customStyle="1" w:styleId="hps">
    <w:name w:val="hps"/>
    <w:rsid w:val="00CC4D34"/>
  </w:style>
  <w:style w:type="character" w:customStyle="1" w:styleId="atn">
    <w:name w:val="atn"/>
    <w:rsid w:val="00CC4D34"/>
  </w:style>
  <w:style w:type="paragraph" w:customStyle="1" w:styleId="a6">
    <w:name w:val="СПИСОК ЛІТЕРАТУРИ"/>
    <w:basedOn w:val="a"/>
    <w:qFormat/>
    <w:rsid w:val="00214141"/>
    <w:pPr>
      <w:spacing w:before="240" w:after="60" w:line="240" w:lineRule="atLeast"/>
      <w:ind w:firstLine="284"/>
      <w:jc w:val="center"/>
    </w:pPr>
    <w:rPr>
      <w:rFonts w:ascii="Arial" w:eastAsia="Calibri" w:hAnsi="Arial" w:cs="Times New Roman"/>
      <w:caps/>
      <w:spacing w:val="2"/>
    </w:rPr>
  </w:style>
  <w:style w:type="paragraph" w:customStyle="1" w:styleId="OCS1">
    <w:name w:val="OCS_Текст"/>
    <w:basedOn w:val="a"/>
    <w:link w:val="OCS2"/>
    <w:qFormat/>
    <w:rsid w:val="00026A0B"/>
    <w:pPr>
      <w:widowControl w:val="0"/>
      <w:spacing w:after="0" w:line="240" w:lineRule="atLeast"/>
      <w:ind w:firstLine="284"/>
      <w:jc w:val="both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character" w:customStyle="1" w:styleId="OCS2">
    <w:name w:val="OCS_Текст Знак"/>
    <w:link w:val="OCS1"/>
    <w:rsid w:val="00026A0B"/>
    <w:rPr>
      <w:rFonts w:ascii="Times New Roman" w:eastAsia="Calibri" w:hAnsi="Times New Roman" w:cs="Times New Roman"/>
      <w:color w:val="000000"/>
      <w:szCs w:val="20"/>
      <w:lang w:val="uk-UA" w:eastAsia="ru-RU"/>
    </w:rPr>
  </w:style>
  <w:style w:type="paragraph" w:customStyle="1" w:styleId="OCS3">
    <w:name w:val="OCS_Довідка про авторів"/>
    <w:basedOn w:val="a"/>
    <w:qFormat/>
    <w:rsid w:val="00026A0B"/>
    <w:pPr>
      <w:tabs>
        <w:tab w:val="right" w:pos="284"/>
      </w:tabs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0"/>
      <w:lang w:eastAsia="ru-RU"/>
    </w:rPr>
  </w:style>
  <w:style w:type="paragraph" w:customStyle="1" w:styleId="11">
    <w:name w:val="ФІО_1"/>
    <w:basedOn w:val="1"/>
    <w:link w:val="1Char"/>
    <w:qFormat/>
    <w:rsid w:val="00985A67"/>
    <w:pPr>
      <w:keepNext w:val="0"/>
      <w:keepLines w:val="0"/>
      <w:spacing w:before="0" w:line="288" w:lineRule="auto"/>
      <w:jc w:val="right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  <w:lang w:eastAsia="ru-RU"/>
    </w:rPr>
  </w:style>
  <w:style w:type="paragraph" w:customStyle="1" w:styleId="12">
    <w:name w:val="Організ_1"/>
    <w:link w:val="1Char0"/>
    <w:qFormat/>
    <w:rsid w:val="00985A67"/>
    <w:pPr>
      <w:spacing w:after="0" w:line="288" w:lineRule="auto"/>
      <w:jc w:val="right"/>
    </w:pPr>
    <w:rPr>
      <w:rFonts w:ascii="Times New Roman" w:eastAsia="Times New Roman" w:hAnsi="Times New Roman" w:cs="Times New Roman"/>
      <w:i/>
      <w:sz w:val="28"/>
      <w:szCs w:val="28"/>
      <w:lang w:val="en-US" w:eastAsia="ru-RU"/>
    </w:rPr>
  </w:style>
  <w:style w:type="character" w:customStyle="1" w:styleId="1Char">
    <w:name w:val="ФІО_1 Char"/>
    <w:link w:val="11"/>
    <w:rsid w:val="00985A67"/>
    <w:rPr>
      <w:rFonts w:ascii="Times New Roman" w:eastAsia="Times New Roman" w:hAnsi="Times New Roman" w:cs="Times New Roman"/>
      <w:b/>
      <w:bCs/>
      <w:kern w:val="32"/>
      <w:sz w:val="28"/>
      <w:szCs w:val="28"/>
      <w:lang w:val="uk-UA" w:eastAsia="ru-RU"/>
    </w:rPr>
  </w:style>
  <w:style w:type="paragraph" w:customStyle="1" w:styleId="13">
    <w:name w:val="НАЗВА_1"/>
    <w:link w:val="1Char1"/>
    <w:qFormat/>
    <w:rsid w:val="00985A67"/>
    <w:pPr>
      <w:spacing w:before="480" w:after="480" w:line="288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kern w:val="28"/>
      <w:sz w:val="28"/>
      <w:szCs w:val="28"/>
      <w:lang w:val="en-US" w:eastAsia="ru-RU"/>
    </w:rPr>
  </w:style>
  <w:style w:type="character" w:customStyle="1" w:styleId="1Char0">
    <w:name w:val="Організ_1 Char"/>
    <w:link w:val="12"/>
    <w:rsid w:val="00985A67"/>
    <w:rPr>
      <w:rFonts w:ascii="Times New Roman" w:eastAsia="Times New Roman" w:hAnsi="Times New Roman" w:cs="Times New Roman"/>
      <w:i/>
      <w:sz w:val="28"/>
      <w:szCs w:val="28"/>
      <w:lang w:val="en-US" w:eastAsia="ru-RU"/>
    </w:rPr>
  </w:style>
  <w:style w:type="character" w:customStyle="1" w:styleId="1Char1">
    <w:name w:val="НАЗВА_1 Char"/>
    <w:link w:val="13"/>
    <w:rsid w:val="00985A67"/>
    <w:rPr>
      <w:rFonts w:ascii="Times New Roman" w:eastAsia="Times New Roman" w:hAnsi="Times New Roman" w:cs="Times New Roman"/>
      <w:b/>
      <w:bCs/>
      <w:caps/>
      <w:kern w:val="28"/>
      <w:sz w:val="28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85A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styleId="a7">
    <w:name w:val="annotation reference"/>
    <w:basedOn w:val="a0"/>
    <w:uiPriority w:val="99"/>
    <w:semiHidden/>
    <w:unhideWhenUsed/>
    <w:rsid w:val="00470A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0A3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0A3C"/>
    <w:rPr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0A3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0A3C"/>
    <w:rPr>
      <w:b/>
      <w:bCs/>
      <w:sz w:val="20"/>
      <w:szCs w:val="20"/>
      <w:lang w:val="uk-UA"/>
    </w:rPr>
  </w:style>
  <w:style w:type="character" w:styleId="ac">
    <w:name w:val="Hyperlink"/>
    <w:basedOn w:val="a0"/>
    <w:uiPriority w:val="99"/>
    <w:unhideWhenUsed/>
    <w:rsid w:val="00526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Ира</cp:lastModifiedBy>
  <cp:revision>10</cp:revision>
  <dcterms:created xsi:type="dcterms:W3CDTF">2017-10-09T07:51:00Z</dcterms:created>
  <dcterms:modified xsi:type="dcterms:W3CDTF">2017-10-11T12:12:00Z</dcterms:modified>
</cp:coreProperties>
</file>